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789A" w14:textId="79B32F57" w:rsidR="009256EF" w:rsidRPr="00F232A4" w:rsidRDefault="009256EF" w:rsidP="00250B27">
      <w:pPr>
        <w:spacing w:before="240"/>
        <w:jc w:val="center"/>
        <w:rPr>
          <w:rFonts w:ascii="Arial" w:hAnsi="Arial" w:cs="Arial"/>
          <w:b/>
          <w:bCs/>
          <w:sz w:val="44"/>
          <w:szCs w:val="44"/>
        </w:rPr>
      </w:pPr>
      <w:r w:rsidRPr="00F232A4">
        <w:rPr>
          <w:rFonts w:ascii="Arial" w:hAnsi="Arial" w:cs="Arial"/>
          <w:b/>
          <w:bCs/>
          <w:sz w:val="44"/>
          <w:szCs w:val="44"/>
        </w:rPr>
        <w:t>Everdon Parish Council</w:t>
      </w:r>
    </w:p>
    <w:p w14:paraId="6B299D6B" w14:textId="7975F28A" w:rsidR="004854B8" w:rsidRDefault="009256EF" w:rsidP="00250B2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854B8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8B212D">
        <w:rPr>
          <w:rFonts w:ascii="Arial" w:hAnsi="Arial" w:cs="Arial"/>
          <w:b/>
          <w:bCs/>
          <w:sz w:val="28"/>
          <w:szCs w:val="28"/>
        </w:rPr>
        <w:t>remote</w:t>
      </w:r>
      <w:r w:rsidRPr="004854B8">
        <w:rPr>
          <w:rFonts w:ascii="Arial" w:hAnsi="Arial" w:cs="Arial"/>
          <w:b/>
          <w:bCs/>
          <w:sz w:val="28"/>
          <w:szCs w:val="28"/>
        </w:rPr>
        <w:t xml:space="preserve"> Parish Council meeting </w:t>
      </w:r>
    </w:p>
    <w:p w14:paraId="10D6E238" w14:textId="36DD844F" w:rsidR="00250B27" w:rsidRPr="004854B8" w:rsidRDefault="009256EF" w:rsidP="00250B2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854B8">
        <w:rPr>
          <w:rFonts w:ascii="Arial" w:hAnsi="Arial" w:cs="Arial"/>
          <w:b/>
          <w:bCs/>
          <w:sz w:val="28"/>
          <w:szCs w:val="28"/>
        </w:rPr>
        <w:t xml:space="preserve">held on </w:t>
      </w:r>
      <w:r w:rsidR="00A62BCC" w:rsidRPr="004854B8">
        <w:rPr>
          <w:rFonts w:ascii="Arial" w:hAnsi="Arial" w:cs="Arial"/>
          <w:b/>
          <w:bCs/>
          <w:sz w:val="28"/>
          <w:szCs w:val="28"/>
        </w:rPr>
        <w:t>8 June</w:t>
      </w:r>
      <w:r w:rsidRPr="004854B8">
        <w:rPr>
          <w:rFonts w:ascii="Arial" w:hAnsi="Arial" w:cs="Arial"/>
          <w:b/>
          <w:bCs/>
          <w:sz w:val="28"/>
          <w:szCs w:val="28"/>
        </w:rPr>
        <w:t xml:space="preserve"> 2020 at 6:30pm </w:t>
      </w:r>
    </w:p>
    <w:p w14:paraId="48067467" w14:textId="5D497068" w:rsidR="009256EF" w:rsidRDefault="00250B27" w:rsidP="008B212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256EF">
        <w:rPr>
          <w:rFonts w:ascii="Arial" w:hAnsi="Arial" w:cs="Arial"/>
          <w:sz w:val="24"/>
          <w:szCs w:val="24"/>
        </w:rPr>
        <w:t>Zoom video conferencing</w:t>
      </w:r>
      <w:r w:rsidR="004F2607">
        <w:rPr>
          <w:rFonts w:ascii="Arial" w:hAnsi="Arial" w:cs="Arial"/>
          <w:sz w:val="24"/>
          <w:szCs w:val="24"/>
        </w:rPr>
        <w:t>, in terms of The Local Authorities and</w:t>
      </w:r>
      <w:r w:rsidR="009256EF">
        <w:rPr>
          <w:rFonts w:ascii="Arial" w:hAnsi="Arial" w:cs="Arial"/>
          <w:sz w:val="24"/>
          <w:szCs w:val="24"/>
        </w:rPr>
        <w:t xml:space="preserve"> </w:t>
      </w:r>
      <w:r w:rsidR="004F2607">
        <w:rPr>
          <w:rFonts w:ascii="Arial" w:hAnsi="Arial" w:cs="Arial"/>
          <w:sz w:val="24"/>
          <w:szCs w:val="24"/>
        </w:rPr>
        <w:t>Police and Crime Panels (Coronavirus) (Flexibility pf Local Authority and Police and Crime Panel meetings) (England and Wales) Regulations 2020</w:t>
      </w:r>
      <w:r>
        <w:rPr>
          <w:rFonts w:ascii="Arial" w:hAnsi="Arial" w:cs="Arial"/>
          <w:sz w:val="24"/>
          <w:szCs w:val="24"/>
        </w:rPr>
        <w:t>)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1E0060F" w14:textId="77777777" w:rsidR="009256EF" w:rsidRPr="00F232A4" w:rsidRDefault="009256EF" w:rsidP="004854B8">
      <w:pPr>
        <w:spacing w:after="240"/>
        <w:rPr>
          <w:rFonts w:ascii="Arial" w:hAnsi="Arial" w:cs="Arial"/>
          <w:sz w:val="24"/>
          <w:szCs w:val="24"/>
        </w:rPr>
      </w:pPr>
      <w:r w:rsidRPr="00F232A4">
        <w:rPr>
          <w:rFonts w:ascii="Arial" w:hAnsi="Arial" w:cs="Arial"/>
          <w:sz w:val="24"/>
          <w:szCs w:val="24"/>
        </w:rPr>
        <w:t>Councillors Kevin Nichols (Chairman),</w:t>
      </w:r>
      <w:r>
        <w:rPr>
          <w:rFonts w:ascii="Arial" w:hAnsi="Arial" w:cs="Arial"/>
          <w:sz w:val="24"/>
          <w:szCs w:val="24"/>
        </w:rPr>
        <w:t xml:space="preserve"> Ron Flounders (Vice-chair)</w:t>
      </w:r>
      <w:r w:rsidRPr="00F232A4">
        <w:rPr>
          <w:rFonts w:ascii="Arial" w:hAnsi="Arial" w:cs="Arial"/>
          <w:sz w:val="24"/>
          <w:szCs w:val="24"/>
        </w:rPr>
        <w:t xml:space="preserve"> Peter Bowman, Peter Cooper, Shaen Linfoot, David Osborne</w:t>
      </w:r>
      <w:r>
        <w:rPr>
          <w:rFonts w:ascii="Arial" w:hAnsi="Arial" w:cs="Arial"/>
          <w:sz w:val="24"/>
          <w:szCs w:val="24"/>
        </w:rPr>
        <w:t>, Keith Wilkins and</w:t>
      </w:r>
      <w:r w:rsidRPr="00F232A4">
        <w:rPr>
          <w:rFonts w:ascii="Arial" w:hAnsi="Arial" w:cs="Arial"/>
          <w:sz w:val="24"/>
          <w:szCs w:val="24"/>
        </w:rPr>
        <w:t xml:space="preserve"> Will Willits</w:t>
      </w:r>
      <w:r>
        <w:rPr>
          <w:rFonts w:ascii="Arial" w:hAnsi="Arial" w:cs="Arial"/>
          <w:sz w:val="24"/>
          <w:szCs w:val="24"/>
        </w:rPr>
        <w:t>.</w:t>
      </w:r>
    </w:p>
    <w:p w14:paraId="75A084CC" w14:textId="719F6A9C" w:rsidR="009256EF" w:rsidRDefault="009256EF" w:rsidP="002E706D">
      <w:pPr>
        <w:keepNext/>
        <w:spacing w:after="240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F232A4">
        <w:rPr>
          <w:rFonts w:ascii="Arial" w:hAnsi="Arial" w:cs="Arial"/>
          <w:sz w:val="24"/>
          <w:szCs w:val="24"/>
        </w:rPr>
        <w:t>In attendance:  Erica Fothergill (Clerk/RFO</w:t>
      </w:r>
      <w:r w:rsidRPr="00246660">
        <w:rPr>
          <w:rFonts w:ascii="Arial" w:hAnsi="Arial" w:cs="Arial"/>
          <w:sz w:val="24"/>
          <w:szCs w:val="24"/>
        </w:rPr>
        <w:t>)</w:t>
      </w:r>
      <w:r w:rsidR="00A62BCC">
        <w:rPr>
          <w:rFonts w:ascii="Arial" w:hAnsi="Arial" w:cs="Arial"/>
          <w:sz w:val="24"/>
          <w:szCs w:val="24"/>
        </w:rPr>
        <w:t xml:space="preserve">, District Councillor Johnny Amos and </w:t>
      </w:r>
      <w:r w:rsidR="00A62BCC" w:rsidRPr="008B212D">
        <w:rPr>
          <w:rFonts w:ascii="Arial" w:hAnsi="Arial" w:cs="Arial"/>
          <w:sz w:val="24"/>
          <w:szCs w:val="24"/>
        </w:rPr>
        <w:t>one</w:t>
      </w:r>
      <w:r w:rsidR="00A62BCC" w:rsidRPr="00A62BCC">
        <w:rPr>
          <w:rFonts w:ascii="Arial" w:hAnsi="Arial" w:cs="Arial"/>
          <w:color w:val="FF0000"/>
          <w:sz w:val="24"/>
          <w:szCs w:val="24"/>
        </w:rPr>
        <w:t xml:space="preserve"> </w:t>
      </w:r>
      <w:r w:rsidR="00A62BCC">
        <w:rPr>
          <w:rFonts w:ascii="Arial" w:hAnsi="Arial" w:cs="Arial"/>
          <w:sz w:val="24"/>
          <w:szCs w:val="24"/>
        </w:rPr>
        <w:t>resident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2E706D" w14:paraId="01C56033" w14:textId="77777777" w:rsidTr="00F74DCD">
        <w:tc>
          <w:tcPr>
            <w:tcW w:w="562" w:type="dxa"/>
          </w:tcPr>
          <w:p w14:paraId="63E921B1" w14:textId="6A26232D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1BE6F6D" w14:textId="7347FFEA" w:rsidR="002E706D" w:rsidRDefault="000252FE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>
              <w:rPr>
                <w:rFonts w:ascii="Arial" w:hAnsi="Arial" w:cs="Arial"/>
                <w:sz w:val="24"/>
                <w:szCs w:val="24"/>
              </w:rPr>
              <w:t>meeting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2E706D" w14:paraId="0F776570" w14:textId="77777777" w:rsidTr="00F74DCD">
        <w:tc>
          <w:tcPr>
            <w:tcW w:w="562" w:type="dxa"/>
          </w:tcPr>
          <w:p w14:paraId="0C082F78" w14:textId="5420625E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111B5C7" w14:textId="675BFD93" w:rsidR="002E706D" w:rsidRDefault="002E706D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T</w:t>
            </w:r>
            <w:r w:rsidR="000252FE">
              <w:rPr>
                <w:rFonts w:ascii="Arial" w:hAnsi="Arial" w:cs="Arial"/>
                <w:sz w:val="24"/>
                <w:szCs w:val="24"/>
              </w:rPr>
              <w:t>here were no</w:t>
            </w:r>
            <w:r w:rsidRPr="002E706D">
              <w:rPr>
                <w:rFonts w:ascii="Arial" w:hAnsi="Arial" w:cs="Arial"/>
                <w:sz w:val="24"/>
                <w:szCs w:val="24"/>
              </w:rPr>
              <w:t xml:space="preserve"> requests for dispensation from members of the Council.</w:t>
            </w:r>
          </w:p>
        </w:tc>
      </w:tr>
      <w:tr w:rsidR="002E706D" w14:paraId="2D582209" w14:textId="77777777" w:rsidTr="00F74DCD">
        <w:tc>
          <w:tcPr>
            <w:tcW w:w="562" w:type="dxa"/>
          </w:tcPr>
          <w:p w14:paraId="727B284A" w14:textId="796AA076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4F296D8C" w14:textId="77777777" w:rsidR="002E706D" w:rsidRPr="00BD082A" w:rsidRDefault="000252FE" w:rsidP="004340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</w:t>
            </w:r>
            <w:r w:rsidR="004F2607"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Open Forum </w:t>
            </w:r>
            <w:r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5875E1" w14:textId="77777777" w:rsidR="00CD6D2D" w:rsidRDefault="00CD6D2D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resident attended to comment on planning application </w:t>
            </w:r>
            <w:r w:rsidRPr="00CD6D2D">
              <w:rPr>
                <w:rFonts w:ascii="Arial" w:hAnsi="Arial" w:cs="Arial"/>
                <w:sz w:val="24"/>
                <w:szCs w:val="24"/>
              </w:rPr>
              <w:t>DA/2020/0312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9C59E55" w14:textId="1EA79053" w:rsidR="00CD6D2D" w:rsidRDefault="00CD6D2D" w:rsidP="00CD6D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Councillor Amos attended and briefed the council on progress with regard to the unitary authority. </w:t>
            </w:r>
          </w:p>
        </w:tc>
      </w:tr>
      <w:tr w:rsidR="002E706D" w14:paraId="3AB75A10" w14:textId="77777777" w:rsidTr="00F74DCD">
        <w:tc>
          <w:tcPr>
            <w:tcW w:w="562" w:type="dxa"/>
          </w:tcPr>
          <w:p w14:paraId="291E7030" w14:textId="0A9AD9CA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FC2AEC4" w14:textId="185948C6" w:rsidR="002E706D" w:rsidRDefault="00A62BCC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pologies for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received from County Councillor Robin Brown.</w:t>
            </w:r>
          </w:p>
        </w:tc>
      </w:tr>
      <w:tr w:rsidR="002E706D" w14:paraId="391C460B" w14:textId="77777777" w:rsidTr="00F74DCD">
        <w:tc>
          <w:tcPr>
            <w:tcW w:w="562" w:type="dxa"/>
          </w:tcPr>
          <w:p w14:paraId="2706EEE2" w14:textId="71A1C4DD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50070A20" w14:textId="24179207" w:rsidR="002E706D" w:rsidRDefault="00597FE6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</w:t>
            </w:r>
            <w:r w:rsidR="000252FE">
              <w:rPr>
                <w:rFonts w:ascii="Arial" w:hAnsi="Arial" w:cs="Arial"/>
                <w:sz w:val="24"/>
                <w:szCs w:val="24"/>
              </w:rPr>
              <w:t xml:space="preserve">here were no </w:t>
            </w:r>
            <w:r w:rsidRPr="00597FE6">
              <w:rPr>
                <w:rFonts w:ascii="Arial" w:hAnsi="Arial" w:cs="Arial"/>
                <w:sz w:val="24"/>
                <w:szCs w:val="24"/>
              </w:rPr>
              <w:t>Declarations of Interest for items on the agenda.</w:t>
            </w:r>
          </w:p>
        </w:tc>
      </w:tr>
      <w:tr w:rsidR="002E706D" w14:paraId="47FAA512" w14:textId="77777777" w:rsidTr="00F74DCD">
        <w:tc>
          <w:tcPr>
            <w:tcW w:w="562" w:type="dxa"/>
          </w:tcPr>
          <w:p w14:paraId="0CB7D45D" w14:textId="660A521C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35AA864" w14:textId="777B670F" w:rsidR="002E706D" w:rsidRDefault="000252FE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A62BCC">
              <w:rPr>
                <w:rFonts w:ascii="Arial" w:hAnsi="Arial" w:cs="Arial"/>
                <w:sz w:val="24"/>
                <w:szCs w:val="24"/>
              </w:rPr>
              <w:t xml:space="preserve">virtual annual </w:t>
            </w:r>
            <w:r w:rsidR="004F2607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eeting of the Parish Council held on Monday </w:t>
            </w:r>
            <w:r w:rsidR="00A62BCC">
              <w:rPr>
                <w:rFonts w:ascii="Arial" w:hAnsi="Arial" w:cs="Arial"/>
                <w:sz w:val="24"/>
                <w:szCs w:val="24"/>
              </w:rPr>
              <w:t>11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706D" w14:paraId="4DFB6EFE" w14:textId="77777777" w:rsidTr="00F74DCD">
        <w:tc>
          <w:tcPr>
            <w:tcW w:w="562" w:type="dxa"/>
          </w:tcPr>
          <w:p w14:paraId="759B8BD6" w14:textId="34FCF7E1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EC2ECE1" w14:textId="77777777" w:rsidR="00434040" w:rsidRPr="00434040" w:rsidRDefault="00434040" w:rsidP="004340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40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6B508AF3" w14:textId="525129F1" w:rsidR="00597FE6" w:rsidRPr="00597FE6" w:rsidRDefault="000252FE" w:rsidP="00CD6D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RESOLVED to approve 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the following documents</w:t>
            </w:r>
            <w:r w:rsidR="004E79AA">
              <w:rPr>
                <w:rFonts w:ascii="Arial" w:hAnsi="Arial" w:cs="Arial"/>
                <w:sz w:val="24"/>
                <w:szCs w:val="24"/>
              </w:rPr>
              <w:t xml:space="preserve"> and payments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BEF7003" w14:textId="5E1C1846" w:rsidR="00597FE6" w:rsidRDefault="00597FE6" w:rsidP="004854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Bank reconciliation for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FE6">
              <w:rPr>
                <w:rFonts w:ascii="Arial" w:hAnsi="Arial" w:cs="Arial"/>
                <w:sz w:val="24"/>
                <w:szCs w:val="24"/>
              </w:rPr>
              <w:t>2020;</w:t>
            </w:r>
          </w:p>
          <w:p w14:paraId="7BA8CD92" w14:textId="08C38708" w:rsidR="00597FE6" w:rsidRDefault="00597FE6" w:rsidP="004854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Receipts &amp; Payments for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7FE6">
              <w:rPr>
                <w:rFonts w:ascii="Arial" w:hAnsi="Arial" w:cs="Arial"/>
                <w:sz w:val="24"/>
                <w:szCs w:val="24"/>
              </w:rPr>
              <w:t>020;</w:t>
            </w:r>
          </w:p>
          <w:p w14:paraId="76F1498D" w14:textId="3432AE98" w:rsidR="00CD6D2D" w:rsidRDefault="00A62BCC" w:rsidP="00CD1D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6D2D">
              <w:rPr>
                <w:rFonts w:ascii="Arial" w:hAnsi="Arial" w:cs="Arial"/>
                <w:sz w:val="24"/>
                <w:szCs w:val="24"/>
              </w:rPr>
              <w:t>2019/20 Internal Audit Report.  There were no issues arising from the report and the Chairman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 and Councillors</w:t>
            </w:r>
            <w:r w:rsidRPr="00CD6D2D">
              <w:rPr>
                <w:rFonts w:ascii="Arial" w:hAnsi="Arial" w:cs="Arial"/>
                <w:sz w:val="24"/>
                <w:szCs w:val="24"/>
              </w:rPr>
              <w:t xml:space="preserve"> thanked the Clerk 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for her hard work </w:t>
            </w:r>
            <w:r w:rsidRPr="00CD6D2D">
              <w:rPr>
                <w:rFonts w:ascii="Arial" w:hAnsi="Arial" w:cs="Arial"/>
                <w:sz w:val="24"/>
                <w:szCs w:val="24"/>
              </w:rPr>
              <w:t>on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 achieving another clear audit.</w:t>
            </w:r>
          </w:p>
          <w:p w14:paraId="15E359DF" w14:textId="2150D1BC" w:rsidR="004F2607" w:rsidRPr="004F2607" w:rsidRDefault="00597FE6" w:rsidP="004854B8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  <w:r w:rsidRPr="00597FE6">
              <w:rPr>
                <w:rFonts w:ascii="Arial" w:hAnsi="Arial" w:cs="Arial"/>
                <w:sz w:val="24"/>
                <w:szCs w:val="24"/>
              </w:rPr>
              <w:t>yments, listed in Addendum A.</w:t>
            </w:r>
          </w:p>
        </w:tc>
      </w:tr>
      <w:tr w:rsidR="00434040" w14:paraId="16ADBD16" w14:textId="77777777" w:rsidTr="00F74DCD">
        <w:tc>
          <w:tcPr>
            <w:tcW w:w="562" w:type="dxa"/>
          </w:tcPr>
          <w:p w14:paraId="30CF0D27" w14:textId="77777777" w:rsidR="00434040" w:rsidRPr="00F74DCD" w:rsidRDefault="00434040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9B717BF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311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Applications</w:t>
            </w:r>
          </w:p>
          <w:p w14:paraId="7A64DDDF" w14:textId="76EA998F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DA/2020/0247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15311">
              <w:rPr>
                <w:rFonts w:ascii="Arial" w:hAnsi="Arial" w:cs="Arial"/>
                <w:sz w:val="24"/>
                <w:szCs w:val="24"/>
              </w:rPr>
              <w:t>Mill Farm, Stubbs Road, Everdon</w:t>
            </w:r>
          </w:p>
          <w:p w14:paraId="0AA0B5DE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Details</w:t>
            </w:r>
            <w:r w:rsidRPr="00715311">
              <w:rPr>
                <w:rFonts w:ascii="Arial" w:hAnsi="Arial" w:cs="Arial"/>
                <w:sz w:val="24"/>
                <w:szCs w:val="24"/>
              </w:rPr>
              <w:t>: Single storey rear extension</w:t>
            </w:r>
          </w:p>
          <w:p w14:paraId="526DB0E2" w14:textId="7E45349F" w:rsid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Comment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: Council </w:t>
            </w:r>
            <w:r w:rsidR="007E0C04">
              <w:rPr>
                <w:rFonts w:ascii="Arial" w:hAnsi="Arial" w:cs="Arial"/>
                <w:sz w:val="24"/>
                <w:szCs w:val="24"/>
              </w:rPr>
              <w:t xml:space="preserve">unanimously </w:t>
            </w:r>
            <w:r w:rsidRPr="00715311">
              <w:rPr>
                <w:rFonts w:ascii="Arial" w:hAnsi="Arial" w:cs="Arial"/>
                <w:sz w:val="24"/>
                <w:szCs w:val="24"/>
              </w:rPr>
              <w:t>supported the application</w:t>
            </w:r>
          </w:p>
          <w:p w14:paraId="4C1B14D0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7A086" w14:textId="2E328645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Planning Application: DA/2020/0312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15311">
              <w:rPr>
                <w:rFonts w:ascii="Arial" w:hAnsi="Arial" w:cs="Arial"/>
                <w:sz w:val="24"/>
                <w:szCs w:val="24"/>
              </w:rPr>
              <w:t>Halifax Lodge, Bethels Lane</w:t>
            </w:r>
            <w:r>
              <w:rPr>
                <w:rFonts w:ascii="Arial" w:hAnsi="Arial" w:cs="Arial"/>
                <w:sz w:val="24"/>
                <w:szCs w:val="24"/>
              </w:rPr>
              <w:t>, Everdon</w:t>
            </w:r>
          </w:p>
          <w:p w14:paraId="558862EB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Details</w:t>
            </w:r>
            <w:r w:rsidRPr="00715311">
              <w:rPr>
                <w:rFonts w:ascii="Arial" w:hAnsi="Arial" w:cs="Arial"/>
                <w:sz w:val="24"/>
                <w:szCs w:val="24"/>
              </w:rPr>
              <w:t>: Replace conservatory with single storey rear and side extension.  New entrance door and windows including changes to size of some openings.  Rendering to external walls.</w:t>
            </w:r>
          </w:p>
          <w:p w14:paraId="123858A7" w14:textId="740504DE" w:rsidR="00434040" w:rsidRPr="00A62BCC" w:rsidRDefault="00715311" w:rsidP="00BD082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Comment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: Council did not support this application and submitted a detailed list of issues </w:t>
            </w:r>
            <w:r w:rsidR="007E0C04">
              <w:rPr>
                <w:rFonts w:ascii="Arial" w:hAnsi="Arial" w:cs="Arial"/>
                <w:sz w:val="24"/>
                <w:szCs w:val="24"/>
              </w:rPr>
              <w:t>to the case office</w:t>
            </w:r>
            <w:r w:rsidRPr="00715311">
              <w:rPr>
                <w:rFonts w:ascii="Arial" w:hAnsi="Arial" w:cs="Arial"/>
                <w:sz w:val="24"/>
                <w:szCs w:val="24"/>
              </w:rPr>
              <w:t>r</w:t>
            </w:r>
            <w:r w:rsidR="007E0C04">
              <w:rPr>
                <w:rFonts w:ascii="Arial" w:hAnsi="Arial" w:cs="Arial"/>
                <w:sz w:val="24"/>
                <w:szCs w:val="24"/>
              </w:rPr>
              <w:t>, including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 the bulk of the work being carried out prior to </w:t>
            </w:r>
            <w:r w:rsidR="007E0C04">
              <w:rPr>
                <w:rFonts w:ascii="Arial" w:hAnsi="Arial" w:cs="Arial"/>
                <w:sz w:val="24"/>
                <w:szCs w:val="24"/>
              </w:rPr>
              <w:t>submission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 of the planning application, the </w:t>
            </w:r>
            <w:r w:rsidR="007E0C04">
              <w:rPr>
                <w:rFonts w:ascii="Arial" w:hAnsi="Arial" w:cs="Arial"/>
                <w:sz w:val="24"/>
                <w:szCs w:val="24"/>
              </w:rPr>
              <w:t xml:space="preserve">major alterations 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appearance, removal of trees from a conservation area without </w:t>
            </w:r>
            <w:r w:rsidR="00BD082A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permission, addition of windows where none previously existed, etc. </w:t>
            </w:r>
            <w:r w:rsidR="007E0C04">
              <w:rPr>
                <w:rFonts w:ascii="Arial" w:hAnsi="Arial" w:cs="Arial"/>
                <w:sz w:val="24"/>
                <w:szCs w:val="24"/>
              </w:rPr>
              <w:t>and Council has requested detailed responses from DDC</w:t>
            </w:r>
            <w:r w:rsidRPr="007153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1F27" w14:paraId="255F9D2D" w14:textId="77777777" w:rsidTr="00F74DCD">
        <w:tc>
          <w:tcPr>
            <w:tcW w:w="562" w:type="dxa"/>
          </w:tcPr>
          <w:p w14:paraId="1868C394" w14:textId="77777777" w:rsidR="009E1F27" w:rsidRPr="00F74DCD" w:rsidRDefault="009E1F27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430A8D1" w14:textId="77777777" w:rsidR="009E1F27" w:rsidRPr="009E1F27" w:rsidRDefault="009E1F27" w:rsidP="009E1F27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27">
              <w:rPr>
                <w:rFonts w:ascii="Arial" w:hAnsi="Arial" w:cs="Arial"/>
                <w:b/>
                <w:bCs/>
                <w:sz w:val="24"/>
                <w:szCs w:val="24"/>
              </w:rPr>
              <w:t>Highway updates</w:t>
            </w:r>
          </w:p>
          <w:p w14:paraId="42D10971" w14:textId="77777777" w:rsidR="00C7788C" w:rsidRDefault="009E1F27" w:rsidP="00C7788C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E1F27">
              <w:rPr>
                <w:rFonts w:ascii="Arial" w:hAnsi="Arial" w:cs="Arial"/>
                <w:sz w:val="24"/>
                <w:szCs w:val="24"/>
              </w:rPr>
              <w:t xml:space="preserve">The Chairman reported that the </w:t>
            </w:r>
            <w:r w:rsidR="00122C16">
              <w:rPr>
                <w:rFonts w:ascii="Arial" w:hAnsi="Arial" w:cs="Arial"/>
                <w:sz w:val="24"/>
                <w:szCs w:val="24"/>
              </w:rPr>
              <w:t>some of the potholes in the village, including Snorscomb and Little Everdon had been repaired</w:t>
            </w:r>
            <w:r w:rsidR="00054EDC">
              <w:rPr>
                <w:rFonts w:ascii="Arial" w:hAnsi="Arial" w:cs="Arial"/>
                <w:sz w:val="24"/>
                <w:szCs w:val="24"/>
              </w:rPr>
              <w:t>,</w:t>
            </w:r>
            <w:r w:rsidR="00122C16">
              <w:rPr>
                <w:rFonts w:ascii="Arial" w:hAnsi="Arial" w:cs="Arial"/>
                <w:sz w:val="24"/>
                <w:szCs w:val="24"/>
              </w:rPr>
              <w:t xml:space="preserve"> but that there </w:t>
            </w:r>
            <w:r w:rsidR="00054EDC">
              <w:rPr>
                <w:rFonts w:ascii="Arial" w:hAnsi="Arial" w:cs="Arial"/>
                <w:sz w:val="24"/>
                <w:szCs w:val="24"/>
              </w:rPr>
              <w:t>were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EDC">
              <w:rPr>
                <w:rFonts w:ascii="Arial" w:hAnsi="Arial" w:cs="Arial"/>
                <w:sz w:val="24"/>
                <w:szCs w:val="24"/>
              </w:rPr>
              <w:t>more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potholes to</w:t>
            </w:r>
            <w:r w:rsidR="00122C16">
              <w:rPr>
                <w:rFonts w:ascii="Arial" w:hAnsi="Arial" w:cs="Arial"/>
                <w:sz w:val="24"/>
                <w:szCs w:val="24"/>
              </w:rPr>
              <w:t xml:space="preserve"> be repaired.</w:t>
            </w:r>
            <w:r w:rsidR="00C77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23C595" w14:textId="1588F94F" w:rsidR="009E1F27" w:rsidRPr="009E1F27" w:rsidRDefault="007E0C04" w:rsidP="00C7788C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had already contacted Highways for an update on the remaining work and clearance of the drains and a response is awaited.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1F27" w14:paraId="2D5F08E3" w14:textId="77777777" w:rsidTr="00F74DCD">
        <w:tc>
          <w:tcPr>
            <w:tcW w:w="562" w:type="dxa"/>
          </w:tcPr>
          <w:p w14:paraId="3F95FED0" w14:textId="77777777" w:rsidR="009E1F27" w:rsidRPr="00F74DCD" w:rsidRDefault="009E1F27" w:rsidP="009E1F2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4B92869" w14:textId="6B1DB982" w:rsidR="009E1F27" w:rsidRPr="008012DC" w:rsidRDefault="009E1F27" w:rsidP="009E1F2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1578641"/>
            <w:r w:rsidRPr="008012DC">
              <w:rPr>
                <w:rFonts w:ascii="Arial" w:hAnsi="Arial" w:cs="Arial"/>
                <w:sz w:val="24"/>
                <w:szCs w:val="24"/>
              </w:rPr>
              <w:t>T</w:t>
            </w:r>
            <w:r w:rsidR="008B212D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</w:t>
            </w:r>
            <w:r w:rsidRPr="00026708">
              <w:rPr>
                <w:rFonts w:ascii="Arial" w:hAnsi="Arial" w:cs="Arial"/>
                <w:sz w:val="24"/>
                <w:szCs w:val="24"/>
              </w:rPr>
              <w:t>Policies and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had been reviewed and all amendments were approved:</w:t>
            </w:r>
          </w:p>
          <w:p w14:paraId="3E500B67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41925265"/>
            <w:bookmarkEnd w:id="0"/>
            <w:r w:rsidRPr="008012DC">
              <w:rPr>
                <w:rFonts w:ascii="Arial" w:hAnsi="Arial" w:cs="Arial"/>
                <w:sz w:val="24"/>
                <w:szCs w:val="24"/>
              </w:rPr>
              <w:t>Standing Orders;</w:t>
            </w:r>
          </w:p>
          <w:p w14:paraId="1FD23E4B" w14:textId="77777777" w:rsidR="009E1F27" w:rsidRPr="0044010B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10B">
              <w:rPr>
                <w:rFonts w:ascii="Arial" w:hAnsi="Arial" w:cs="Arial"/>
                <w:sz w:val="24"/>
                <w:szCs w:val="24"/>
              </w:rPr>
              <w:t>Financial Regulations;</w:t>
            </w:r>
          </w:p>
          <w:p w14:paraId="5FAC8ED9" w14:textId="77777777" w:rsidR="009E1F27" w:rsidRPr="008F3771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771">
              <w:rPr>
                <w:rFonts w:ascii="Arial" w:hAnsi="Arial" w:cs="Arial"/>
                <w:sz w:val="24"/>
                <w:szCs w:val="24"/>
              </w:rPr>
              <w:t>Financial Control Risk Assessment;</w:t>
            </w:r>
          </w:p>
          <w:p w14:paraId="79F0FF3C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Press &amp; Media Policy;</w:t>
            </w:r>
          </w:p>
          <w:p w14:paraId="2D7C89EC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Policy on recording of council meetings;</w:t>
            </w:r>
          </w:p>
          <w:p w14:paraId="1DC3F695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Data Protection Policy;</w:t>
            </w:r>
          </w:p>
          <w:p w14:paraId="01D76F6D" w14:textId="77777777" w:rsidR="009E1F27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Breach Policy;</w:t>
            </w:r>
          </w:p>
          <w:p w14:paraId="516A8066" w14:textId="77777777" w:rsidR="008B212D" w:rsidRDefault="009E1F27" w:rsidP="008B212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Retention Policy;</w:t>
            </w:r>
          </w:p>
          <w:p w14:paraId="785D464E" w14:textId="51FF7CFB" w:rsidR="009E1F27" w:rsidRPr="009E1F27" w:rsidRDefault="009E1F27" w:rsidP="008B212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CAA">
              <w:rPr>
                <w:rFonts w:ascii="Arial" w:hAnsi="Arial" w:cs="Arial"/>
                <w:sz w:val="24"/>
                <w:szCs w:val="24"/>
              </w:rPr>
              <w:t>Subject Access Request Procedure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1"/>
          </w:p>
        </w:tc>
      </w:tr>
      <w:tr w:rsidR="009E1F27" w14:paraId="7FA8E1A9" w14:textId="77777777" w:rsidTr="00F74DCD">
        <w:tc>
          <w:tcPr>
            <w:tcW w:w="562" w:type="dxa"/>
          </w:tcPr>
          <w:p w14:paraId="15346B00" w14:textId="77777777" w:rsidR="009E1F27" w:rsidRPr="00F74DCD" w:rsidRDefault="009E1F27" w:rsidP="009E1F2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16F993D4" w14:textId="38B5242A" w:rsidR="009E1F27" w:rsidRPr="009E1F27" w:rsidRDefault="009E1F27" w:rsidP="009E1F27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E1F27">
              <w:rPr>
                <w:rFonts w:ascii="Arial" w:hAnsi="Arial" w:cs="Arial"/>
                <w:sz w:val="24"/>
                <w:szCs w:val="24"/>
              </w:rPr>
              <w:t>Date of next virtual meeting – The next virtual meeting of the Parish Council will be held at 6:30pm on Monday 13 July 2020.</w:t>
            </w:r>
            <w:r w:rsidR="001062B8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EA1EDC">
              <w:rPr>
                <w:rFonts w:ascii="Arial" w:hAnsi="Arial" w:cs="Arial"/>
                <w:sz w:val="24"/>
                <w:szCs w:val="24"/>
              </w:rPr>
              <w:t>i</w:t>
            </w:r>
            <w:r w:rsidR="001062B8">
              <w:rPr>
                <w:rFonts w:ascii="Arial" w:hAnsi="Arial" w:cs="Arial"/>
                <w:sz w:val="24"/>
                <w:szCs w:val="24"/>
              </w:rPr>
              <w:t>ng closed at 7:35pm</w:t>
            </w:r>
            <w:r w:rsidR="00EA1E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66DE7C4" w14:textId="77777777" w:rsidR="002E706D" w:rsidRDefault="002E706D" w:rsidP="002E706D">
      <w:pPr>
        <w:spacing w:after="0"/>
        <w:rPr>
          <w:rFonts w:ascii="Arial" w:hAnsi="Arial" w:cs="Arial"/>
          <w:sz w:val="24"/>
          <w:szCs w:val="24"/>
        </w:rPr>
      </w:pPr>
    </w:p>
    <w:p w14:paraId="6161241E" w14:textId="77777777" w:rsidR="002E706D" w:rsidRDefault="002E706D" w:rsidP="002E706D">
      <w:pPr>
        <w:spacing w:after="0"/>
        <w:rPr>
          <w:rFonts w:ascii="Arial" w:hAnsi="Arial" w:cs="Arial"/>
          <w:sz w:val="24"/>
          <w:szCs w:val="24"/>
        </w:rPr>
      </w:pPr>
    </w:p>
    <w:p w14:paraId="01989860" w14:textId="77777777" w:rsidR="008B212D" w:rsidRDefault="008B212D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27BFC1" w14:textId="50F41C4A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10948" w14:textId="310B8E78" w:rsidR="00A164C3" w:rsidRPr="0064572A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32"/>
          <w:szCs w:val="32"/>
        </w:rPr>
        <w:t xml:space="preserve">Addendum A </w:t>
      </w:r>
      <w:r w:rsidR="008B212D">
        <w:rPr>
          <w:rFonts w:ascii="Arial" w:eastAsia="Times New Roman" w:hAnsi="Arial" w:cs="Arial"/>
          <w:sz w:val="24"/>
          <w:szCs w:val="24"/>
        </w:rPr>
        <w:t>–</w:t>
      </w:r>
      <w:r w:rsidR="0064572A">
        <w:rPr>
          <w:rFonts w:ascii="Arial" w:eastAsia="Times New Roman" w:hAnsi="Arial" w:cs="Arial"/>
          <w:sz w:val="24"/>
          <w:szCs w:val="24"/>
        </w:rPr>
        <w:t xml:space="preserve"> </w:t>
      </w:r>
      <w:r w:rsidR="008B212D">
        <w:rPr>
          <w:rFonts w:ascii="Arial" w:eastAsia="Times New Roman" w:hAnsi="Arial" w:cs="Arial"/>
          <w:sz w:val="24"/>
          <w:szCs w:val="24"/>
        </w:rPr>
        <w:t>Approved p</w:t>
      </w:r>
      <w:r w:rsidR="0064572A" w:rsidRPr="0064572A">
        <w:rPr>
          <w:rFonts w:ascii="Arial" w:eastAsia="Times New Roman" w:hAnsi="Arial" w:cs="Arial"/>
          <w:sz w:val="24"/>
          <w:szCs w:val="24"/>
        </w:rPr>
        <w:t>ayments</w:t>
      </w:r>
      <w:r w:rsidR="008B212D">
        <w:rPr>
          <w:rFonts w:ascii="Arial" w:eastAsia="Times New Roman" w:hAnsi="Arial" w:cs="Arial"/>
          <w:sz w:val="24"/>
          <w:szCs w:val="24"/>
        </w:rPr>
        <w:t xml:space="preserve"> (item 7.4)</w:t>
      </w:r>
    </w:p>
    <w:p w14:paraId="4F274600" w14:textId="30B55793" w:rsidR="0064572A" w:rsidRDefault="0064572A" w:rsidP="00A164C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624"/>
        <w:gridCol w:w="1017"/>
      </w:tblGrid>
      <w:tr w:rsidR="0064572A" w:rsidRPr="0064572A" w14:paraId="559E5CAD" w14:textId="77777777" w:rsidTr="00CF5CA7">
        <w:tc>
          <w:tcPr>
            <w:tcW w:w="2547" w:type="dxa"/>
          </w:tcPr>
          <w:p w14:paraId="2C5F8CB9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134" w:type="dxa"/>
          </w:tcPr>
          <w:p w14:paraId="68A66561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4624" w:type="dxa"/>
          </w:tcPr>
          <w:p w14:paraId="528C21B7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017" w:type="dxa"/>
          </w:tcPr>
          <w:p w14:paraId="64F63D66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</w:tr>
      <w:tr w:rsidR="0064572A" w:rsidRPr="0064572A" w14:paraId="74C4EF0C" w14:textId="77777777" w:rsidTr="00CF5CA7">
        <w:tc>
          <w:tcPr>
            <w:tcW w:w="2547" w:type="dxa"/>
          </w:tcPr>
          <w:p w14:paraId="375644E5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1134" w:type="dxa"/>
          </w:tcPr>
          <w:p w14:paraId="039DDC30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£474.76</w:t>
            </w:r>
          </w:p>
        </w:tc>
        <w:tc>
          <w:tcPr>
            <w:tcW w:w="4624" w:type="dxa"/>
          </w:tcPr>
          <w:p w14:paraId="5A14CC7E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Salary &amp; Expenses </w:t>
            </w:r>
          </w:p>
        </w:tc>
        <w:tc>
          <w:tcPr>
            <w:tcW w:w="1017" w:type="dxa"/>
          </w:tcPr>
          <w:p w14:paraId="6AF5DA4F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5D0EAB14" w14:textId="77777777" w:rsidTr="00CF5CA7">
        <w:tc>
          <w:tcPr>
            <w:tcW w:w="2547" w:type="dxa"/>
          </w:tcPr>
          <w:p w14:paraId="4213A45B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Luke Costello (HGM)</w:t>
            </w:r>
          </w:p>
        </w:tc>
        <w:tc>
          <w:tcPr>
            <w:tcW w:w="1134" w:type="dxa"/>
          </w:tcPr>
          <w:p w14:paraId="069520C9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£220.00</w:t>
            </w:r>
          </w:p>
        </w:tc>
        <w:tc>
          <w:tcPr>
            <w:tcW w:w="4624" w:type="dxa"/>
          </w:tcPr>
          <w:p w14:paraId="22177DD0" w14:textId="52E99B8B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Mowing: </w:t>
            </w:r>
            <w:r w:rsidR="00DD5557">
              <w:rPr>
                <w:rFonts w:ascii="Arial" w:eastAsia="Times New Roman" w:hAnsi="Arial" w:cs="Arial"/>
                <w:sz w:val="24"/>
                <w:szCs w:val="24"/>
              </w:rPr>
              <w:t>May</w:t>
            </w: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017" w:type="dxa"/>
          </w:tcPr>
          <w:p w14:paraId="7A425047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3EF0C236" w14:textId="77777777" w:rsidTr="00CF5CA7">
        <w:tc>
          <w:tcPr>
            <w:tcW w:w="2547" w:type="dxa"/>
          </w:tcPr>
          <w:p w14:paraId="16C5FEB4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ICO</w:t>
            </w:r>
          </w:p>
        </w:tc>
        <w:tc>
          <w:tcPr>
            <w:tcW w:w="1134" w:type="dxa"/>
          </w:tcPr>
          <w:p w14:paraId="44C8EA1A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£35.00</w:t>
            </w:r>
          </w:p>
        </w:tc>
        <w:tc>
          <w:tcPr>
            <w:tcW w:w="4624" w:type="dxa"/>
          </w:tcPr>
          <w:p w14:paraId="6AC9AF7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Annual Data Protection subscription</w:t>
            </w:r>
          </w:p>
        </w:tc>
        <w:tc>
          <w:tcPr>
            <w:tcW w:w="1017" w:type="dxa"/>
          </w:tcPr>
          <w:p w14:paraId="565CBDF8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D/Dt</w:t>
            </w:r>
          </w:p>
        </w:tc>
      </w:tr>
      <w:tr w:rsidR="0064572A" w:rsidRPr="0064572A" w14:paraId="6C0FCBC5" w14:textId="77777777" w:rsidTr="00CF5CA7">
        <w:tc>
          <w:tcPr>
            <w:tcW w:w="2547" w:type="dxa"/>
          </w:tcPr>
          <w:p w14:paraId="355779C5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Netwise</w:t>
            </w:r>
          </w:p>
        </w:tc>
        <w:tc>
          <w:tcPr>
            <w:tcW w:w="1134" w:type="dxa"/>
          </w:tcPr>
          <w:p w14:paraId="77E74079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£58.61</w:t>
            </w:r>
          </w:p>
        </w:tc>
        <w:tc>
          <w:tcPr>
            <w:tcW w:w="4624" w:type="dxa"/>
          </w:tcPr>
          <w:p w14:paraId="7DA14DDA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Website disk space upgrade</w:t>
            </w:r>
          </w:p>
        </w:tc>
        <w:tc>
          <w:tcPr>
            <w:tcW w:w="1017" w:type="dxa"/>
          </w:tcPr>
          <w:p w14:paraId="3034939D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745EB6EB" w14:textId="77777777" w:rsidTr="00CF5CA7">
        <w:tc>
          <w:tcPr>
            <w:tcW w:w="2547" w:type="dxa"/>
          </w:tcPr>
          <w:p w14:paraId="3509275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CPRE</w:t>
            </w:r>
          </w:p>
        </w:tc>
        <w:tc>
          <w:tcPr>
            <w:tcW w:w="1134" w:type="dxa"/>
          </w:tcPr>
          <w:p w14:paraId="3B365E37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£36.00</w:t>
            </w:r>
          </w:p>
        </w:tc>
        <w:tc>
          <w:tcPr>
            <w:tcW w:w="4624" w:type="dxa"/>
          </w:tcPr>
          <w:p w14:paraId="2FC92D4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Annual subscription </w:t>
            </w:r>
          </w:p>
        </w:tc>
        <w:tc>
          <w:tcPr>
            <w:tcW w:w="1017" w:type="dxa"/>
          </w:tcPr>
          <w:p w14:paraId="53DA2F8B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</w:tbl>
    <w:p w14:paraId="37ED799F" w14:textId="77777777" w:rsidR="0064572A" w:rsidRPr="00A164C3" w:rsidRDefault="0064572A" w:rsidP="00A164C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sectPr w:rsidR="0064572A" w:rsidRPr="00A164C3" w:rsidSect="00F7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8678" w14:textId="77777777" w:rsidR="006042EE" w:rsidRDefault="006042EE" w:rsidP="00F73071">
      <w:pPr>
        <w:spacing w:after="0" w:line="240" w:lineRule="auto"/>
      </w:pPr>
      <w:r>
        <w:separator/>
      </w:r>
    </w:p>
  </w:endnote>
  <w:endnote w:type="continuationSeparator" w:id="0">
    <w:p w14:paraId="566D3B9F" w14:textId="77777777" w:rsidR="006042EE" w:rsidRDefault="006042EE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5E" w14:textId="26110F1D" w:rsidR="00F73071" w:rsidRDefault="00F73071" w:rsidP="00F73071">
    <w:pPr>
      <w:pStyle w:val="Footer"/>
    </w:pPr>
    <w:r>
      <w:t>Page 2020/21-0</w:t>
    </w:r>
    <w:r w:rsidR="00AB40D3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B187" w14:textId="25787C83" w:rsidR="00F73071" w:rsidRDefault="00F73071">
    <w:pPr>
      <w:pStyle w:val="Footer"/>
    </w:pPr>
    <w:r>
      <w:ptab w:relativeTo="margin" w:alignment="left" w:leader="none"/>
    </w:r>
    <w:r>
      <w:t>Page 2020/21-00</w:t>
    </w:r>
    <w:r w:rsidR="00AB40D3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0375" w14:textId="77777777" w:rsidR="00BA0EE8" w:rsidRDefault="00BA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44EA" w14:textId="77777777" w:rsidR="006042EE" w:rsidRDefault="006042EE" w:rsidP="00F73071">
      <w:pPr>
        <w:spacing w:after="0" w:line="240" w:lineRule="auto"/>
      </w:pPr>
      <w:r>
        <w:separator/>
      </w:r>
    </w:p>
  </w:footnote>
  <w:footnote w:type="continuationSeparator" w:id="0">
    <w:p w14:paraId="12BFF9C6" w14:textId="77777777" w:rsidR="006042EE" w:rsidRDefault="006042EE" w:rsidP="00F7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14A2" w14:textId="77777777" w:rsidR="00BA0EE8" w:rsidRDefault="00BA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2427" w14:textId="4C3A0998" w:rsidR="00BA0EE8" w:rsidRDefault="00BA0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C517" w14:textId="77777777" w:rsidR="00BA0EE8" w:rsidRDefault="00BA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F245E"/>
    <w:multiLevelType w:val="hybridMultilevel"/>
    <w:tmpl w:val="BA723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4X3Togb5IcJGQrr6bu6sWxOo3/LzSRkp4Kh2T56OpZQU1LneV881NhuYWFZADzEaUI9EWBT9VVY0rTPLBT1N9Q==" w:salt="YvaYUiOedkwglNWrnspgN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252FE"/>
    <w:rsid w:val="00026708"/>
    <w:rsid w:val="00054EDC"/>
    <w:rsid w:val="000739DF"/>
    <w:rsid w:val="001062B8"/>
    <w:rsid w:val="00122C16"/>
    <w:rsid w:val="00172C6A"/>
    <w:rsid w:val="0019490F"/>
    <w:rsid w:val="00242BA2"/>
    <w:rsid w:val="00250B27"/>
    <w:rsid w:val="002E706D"/>
    <w:rsid w:val="003203CB"/>
    <w:rsid w:val="00331438"/>
    <w:rsid w:val="00434040"/>
    <w:rsid w:val="00446801"/>
    <w:rsid w:val="004854B8"/>
    <w:rsid w:val="004E79AA"/>
    <w:rsid w:val="004F2607"/>
    <w:rsid w:val="00591092"/>
    <w:rsid w:val="00597FE6"/>
    <w:rsid w:val="005C09E8"/>
    <w:rsid w:val="006042EE"/>
    <w:rsid w:val="00607BFE"/>
    <w:rsid w:val="00613E9A"/>
    <w:rsid w:val="006318EE"/>
    <w:rsid w:val="0064572A"/>
    <w:rsid w:val="00693831"/>
    <w:rsid w:val="00715311"/>
    <w:rsid w:val="00752E73"/>
    <w:rsid w:val="0079354B"/>
    <w:rsid w:val="007E0C04"/>
    <w:rsid w:val="008B212D"/>
    <w:rsid w:val="008C4E0B"/>
    <w:rsid w:val="00904C8A"/>
    <w:rsid w:val="009256EF"/>
    <w:rsid w:val="00953C2F"/>
    <w:rsid w:val="009A1B23"/>
    <w:rsid w:val="009D02D3"/>
    <w:rsid w:val="009E1F27"/>
    <w:rsid w:val="00A068F3"/>
    <w:rsid w:val="00A164C3"/>
    <w:rsid w:val="00A62BCC"/>
    <w:rsid w:val="00AB40D3"/>
    <w:rsid w:val="00AE31B3"/>
    <w:rsid w:val="00B50401"/>
    <w:rsid w:val="00B9200B"/>
    <w:rsid w:val="00BA0EE8"/>
    <w:rsid w:val="00BD082A"/>
    <w:rsid w:val="00C7788C"/>
    <w:rsid w:val="00CD1DA9"/>
    <w:rsid w:val="00CD43D8"/>
    <w:rsid w:val="00CD6D2D"/>
    <w:rsid w:val="00D20351"/>
    <w:rsid w:val="00DD5557"/>
    <w:rsid w:val="00E70315"/>
    <w:rsid w:val="00E72653"/>
    <w:rsid w:val="00EA1EDC"/>
    <w:rsid w:val="00EE59A4"/>
    <w:rsid w:val="00EF7713"/>
    <w:rsid w:val="00F21500"/>
    <w:rsid w:val="00F73071"/>
    <w:rsid w:val="00F74DCD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1EA9-1A0B-45E2-9061-9061F2A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2</cp:revision>
  <dcterms:created xsi:type="dcterms:W3CDTF">2020-07-07T14:28:00Z</dcterms:created>
  <dcterms:modified xsi:type="dcterms:W3CDTF">2020-07-07T14:28:00Z</dcterms:modified>
</cp:coreProperties>
</file>