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E002" w14:textId="1E5FBE5C" w:rsidR="00EE523C" w:rsidRDefault="00EE523C" w:rsidP="00CF37C9">
      <w:pPr>
        <w:pStyle w:val="Caption"/>
        <w:spacing w:after="120"/>
        <w:rPr>
          <w:rFonts w:ascii="Arial" w:hAnsi="Arial" w:cs="Arial"/>
        </w:rPr>
      </w:pPr>
      <w:r w:rsidRPr="00EE523C">
        <w:rPr>
          <w:rFonts w:ascii="Arial" w:hAnsi="Arial" w:cs="Arial"/>
        </w:rPr>
        <w:t xml:space="preserve">Everdon Parish Council </w:t>
      </w:r>
    </w:p>
    <w:p w14:paraId="5A169015" w14:textId="7A533552" w:rsidR="00487365" w:rsidRPr="00487365" w:rsidRDefault="00487365" w:rsidP="00487365">
      <w:pPr>
        <w:pStyle w:val="Heading2"/>
        <w:rPr>
          <w:color w:val="auto"/>
          <w:sz w:val="32"/>
          <w:szCs w:val="32"/>
        </w:rPr>
      </w:pPr>
      <w:r w:rsidRPr="00487365">
        <w:rPr>
          <w:color w:val="auto"/>
          <w:sz w:val="32"/>
          <w:szCs w:val="32"/>
        </w:rPr>
        <w:t>Review Effectiveness of Internal Audit</w:t>
      </w:r>
    </w:p>
    <w:tbl>
      <w:tblPr>
        <w:tblStyle w:val="TableGrid"/>
        <w:tblpPr w:leftFromText="180" w:rightFromText="180" w:vertAnchor="page" w:horzAnchor="margin" w:tblpXSpec="center" w:tblpY="2101"/>
        <w:tblW w:w="0" w:type="auto"/>
        <w:jc w:val="center"/>
        <w:tblLook w:val="04A0" w:firstRow="1" w:lastRow="0" w:firstColumn="1" w:lastColumn="0" w:noHBand="0" w:noVBand="1"/>
      </w:tblPr>
      <w:tblGrid>
        <w:gridCol w:w="3823"/>
        <w:gridCol w:w="6804"/>
        <w:gridCol w:w="4387"/>
      </w:tblGrid>
      <w:tr w:rsidR="00487365" w:rsidRPr="00DD52C8" w14:paraId="0553D184" w14:textId="77777777" w:rsidTr="00DD52C8">
        <w:trPr>
          <w:jc w:val="center"/>
        </w:trPr>
        <w:tc>
          <w:tcPr>
            <w:tcW w:w="3823" w:type="dxa"/>
            <w:shd w:val="clear" w:color="auto" w:fill="D9D9D9" w:themeFill="background1" w:themeFillShade="D9"/>
          </w:tcPr>
          <w:p w14:paraId="6D838A52" w14:textId="5074BDF5" w:rsidR="00487365" w:rsidRPr="00DD52C8" w:rsidRDefault="00487365" w:rsidP="0005100C">
            <w:pPr>
              <w:pStyle w:val="ListParagraph"/>
              <w:spacing w:before="60" w:after="120"/>
              <w:ind w:left="0"/>
              <w:rPr>
                <w:rFonts w:ascii="Arial" w:hAnsi="Arial" w:cs="Arial"/>
                <w:b/>
              </w:rPr>
            </w:pPr>
            <w:r w:rsidRPr="00DD52C8">
              <w:rPr>
                <w:rFonts w:ascii="Arial" w:hAnsi="Arial" w:cs="Arial"/>
                <w:b/>
              </w:rPr>
              <w:t>Meeting the Standards</w:t>
            </w:r>
          </w:p>
        </w:tc>
        <w:tc>
          <w:tcPr>
            <w:tcW w:w="6804" w:type="dxa"/>
            <w:shd w:val="clear" w:color="auto" w:fill="D9D9D9" w:themeFill="background1" w:themeFillShade="D9"/>
          </w:tcPr>
          <w:p w14:paraId="6A5E4C25" w14:textId="77777777" w:rsidR="00487365" w:rsidRPr="00DD52C8" w:rsidRDefault="00487365" w:rsidP="0005100C">
            <w:pPr>
              <w:spacing w:before="60" w:after="120"/>
              <w:rPr>
                <w:rFonts w:ascii="Arial" w:hAnsi="Arial" w:cs="Arial"/>
              </w:rPr>
            </w:pPr>
          </w:p>
        </w:tc>
        <w:tc>
          <w:tcPr>
            <w:tcW w:w="4387" w:type="dxa"/>
            <w:shd w:val="clear" w:color="auto" w:fill="D9D9D9" w:themeFill="background1" w:themeFillShade="D9"/>
          </w:tcPr>
          <w:p w14:paraId="3E9C180F" w14:textId="77777777" w:rsidR="00487365" w:rsidRPr="00DD52C8" w:rsidRDefault="00487365" w:rsidP="0005100C">
            <w:pPr>
              <w:spacing w:before="60" w:after="120"/>
              <w:rPr>
                <w:rFonts w:ascii="Arial" w:hAnsi="Arial" w:cs="Arial"/>
              </w:rPr>
            </w:pPr>
          </w:p>
        </w:tc>
      </w:tr>
      <w:tr w:rsidR="00CF37C9" w:rsidRPr="00DD52C8" w14:paraId="719EF981" w14:textId="77777777" w:rsidTr="00DD52C8">
        <w:trPr>
          <w:jc w:val="center"/>
        </w:trPr>
        <w:tc>
          <w:tcPr>
            <w:tcW w:w="3823" w:type="dxa"/>
          </w:tcPr>
          <w:p w14:paraId="55E7FAD4" w14:textId="515D02E8" w:rsidR="00CF37C9" w:rsidRPr="00DD52C8" w:rsidRDefault="00CF37C9" w:rsidP="0005100C">
            <w:pPr>
              <w:spacing w:before="60" w:after="120"/>
              <w:rPr>
                <w:rFonts w:ascii="Arial" w:hAnsi="Arial" w:cs="Arial"/>
                <w:b/>
              </w:rPr>
            </w:pPr>
            <w:r w:rsidRPr="00DD52C8">
              <w:rPr>
                <w:rFonts w:ascii="Arial" w:hAnsi="Arial" w:cs="Arial"/>
                <w:b/>
              </w:rPr>
              <w:t>Expected Standard</w:t>
            </w:r>
          </w:p>
        </w:tc>
        <w:tc>
          <w:tcPr>
            <w:tcW w:w="6804" w:type="dxa"/>
          </w:tcPr>
          <w:p w14:paraId="3F8E8443" w14:textId="78455652" w:rsidR="00CF37C9" w:rsidRPr="00DD52C8" w:rsidRDefault="00CF37C9" w:rsidP="0005100C">
            <w:pPr>
              <w:pStyle w:val="Heading3"/>
              <w:framePr w:hSpace="0" w:wrap="auto" w:vAnchor="margin" w:hAnchor="text" w:xAlign="left" w:yAlign="inline"/>
              <w:spacing w:after="120"/>
              <w:outlineLvl w:val="2"/>
            </w:pPr>
            <w:r w:rsidRPr="00DD52C8">
              <w:t>Evidence of Achievement</w:t>
            </w:r>
          </w:p>
        </w:tc>
        <w:tc>
          <w:tcPr>
            <w:tcW w:w="4387" w:type="dxa"/>
          </w:tcPr>
          <w:p w14:paraId="5974D1BC" w14:textId="2FC46E99" w:rsidR="00CF37C9" w:rsidRPr="00DD52C8" w:rsidRDefault="00CF37C9" w:rsidP="0005100C">
            <w:pPr>
              <w:spacing w:before="60" w:after="120"/>
              <w:rPr>
                <w:rFonts w:ascii="Arial" w:hAnsi="Arial" w:cs="Arial"/>
                <w:b/>
              </w:rPr>
            </w:pPr>
            <w:r w:rsidRPr="00DD52C8">
              <w:rPr>
                <w:rFonts w:ascii="Arial" w:hAnsi="Arial" w:cs="Arial"/>
                <w:b/>
              </w:rPr>
              <w:t>Areas for development</w:t>
            </w:r>
            <w:r w:rsidR="00E62395">
              <w:rPr>
                <w:rFonts w:ascii="Arial" w:hAnsi="Arial" w:cs="Arial"/>
                <w:b/>
              </w:rPr>
              <w:t xml:space="preserve"> / Comment</w:t>
            </w:r>
          </w:p>
        </w:tc>
      </w:tr>
      <w:tr w:rsidR="00CF37C9" w:rsidRPr="00DD52C8" w14:paraId="367CAF66" w14:textId="77777777" w:rsidTr="00DD52C8">
        <w:trPr>
          <w:jc w:val="center"/>
        </w:trPr>
        <w:tc>
          <w:tcPr>
            <w:tcW w:w="3823" w:type="dxa"/>
          </w:tcPr>
          <w:p w14:paraId="7FC174BD" w14:textId="77777777" w:rsidR="00CF37C9" w:rsidRPr="00DD52C8" w:rsidRDefault="00CF37C9" w:rsidP="0005100C">
            <w:pPr>
              <w:pStyle w:val="Tabletext"/>
              <w:numPr>
                <w:ilvl w:val="0"/>
                <w:numId w:val="2"/>
              </w:numPr>
              <w:spacing w:after="120"/>
              <w:rPr>
                <w:rFonts w:cs="Arial"/>
                <w:sz w:val="22"/>
                <w:szCs w:val="22"/>
              </w:rPr>
            </w:pPr>
            <w:r w:rsidRPr="00DD52C8">
              <w:rPr>
                <w:rFonts w:cs="Arial"/>
                <w:sz w:val="22"/>
                <w:szCs w:val="22"/>
              </w:rPr>
              <w:t>Scope of internal audit</w:t>
            </w:r>
          </w:p>
          <w:p w14:paraId="7AD6AC64" w14:textId="77777777" w:rsidR="00CF37C9" w:rsidRPr="00DD52C8" w:rsidRDefault="00CF37C9" w:rsidP="0005100C">
            <w:pPr>
              <w:spacing w:before="60" w:after="120"/>
              <w:rPr>
                <w:rFonts w:ascii="Arial" w:hAnsi="Arial" w:cs="Arial"/>
              </w:rPr>
            </w:pPr>
          </w:p>
        </w:tc>
        <w:tc>
          <w:tcPr>
            <w:tcW w:w="6804" w:type="dxa"/>
          </w:tcPr>
          <w:p w14:paraId="208ABBD8" w14:textId="77777777" w:rsidR="00CF37C9" w:rsidRPr="00DD52C8" w:rsidRDefault="00CF37C9" w:rsidP="0005100C">
            <w:pPr>
              <w:pStyle w:val="Tabletext"/>
              <w:spacing w:after="120"/>
              <w:rPr>
                <w:rFonts w:cs="Arial"/>
                <w:b/>
                <w:sz w:val="22"/>
                <w:szCs w:val="22"/>
              </w:rPr>
            </w:pPr>
            <w:r w:rsidRPr="00DD52C8">
              <w:rPr>
                <w:rFonts w:cs="Arial"/>
                <w:sz w:val="22"/>
                <w:szCs w:val="22"/>
              </w:rPr>
              <w:t>Review and approve Internal Audit Service Terms of Reference in November 2017 and every 3</w:t>
            </w:r>
            <w:r w:rsidRPr="00DD52C8">
              <w:rPr>
                <w:rFonts w:cs="Arial"/>
                <w:sz w:val="22"/>
                <w:szCs w:val="22"/>
                <w:vertAlign w:val="superscript"/>
              </w:rPr>
              <w:t>rd</w:t>
            </w:r>
            <w:r w:rsidRPr="00DD52C8">
              <w:rPr>
                <w:rFonts w:cs="Arial"/>
                <w:sz w:val="22"/>
                <w:szCs w:val="22"/>
              </w:rPr>
              <w:t xml:space="preserve"> year after that.</w:t>
            </w:r>
          </w:p>
          <w:p w14:paraId="05550418" w14:textId="46546465" w:rsidR="00CF37C9" w:rsidRPr="00DD52C8" w:rsidRDefault="00CF37C9" w:rsidP="0005100C">
            <w:pPr>
              <w:pStyle w:val="Tabletext"/>
              <w:spacing w:after="120"/>
              <w:rPr>
                <w:rFonts w:cs="Arial"/>
                <w:sz w:val="22"/>
                <w:szCs w:val="22"/>
              </w:rPr>
            </w:pPr>
            <w:r w:rsidRPr="00DD52C8">
              <w:rPr>
                <w:rFonts w:cs="Arial"/>
                <w:sz w:val="22"/>
                <w:szCs w:val="22"/>
              </w:rPr>
              <w:t xml:space="preserve">Scope of audit work </w:t>
            </w:r>
            <w:r w:rsidR="00246A92">
              <w:rPr>
                <w:rFonts w:cs="Arial"/>
                <w:sz w:val="22"/>
                <w:szCs w:val="22"/>
              </w:rPr>
              <w:t>includes</w:t>
            </w:r>
            <w:r w:rsidRPr="00DD52C8">
              <w:rPr>
                <w:rFonts w:cs="Arial"/>
                <w:sz w:val="22"/>
                <w:szCs w:val="22"/>
              </w:rPr>
              <w:t xml:space="preserve"> risk management processes and wider internal control</w:t>
            </w:r>
          </w:p>
          <w:p w14:paraId="18A07323" w14:textId="298AD028" w:rsidR="00CF37C9" w:rsidRPr="00DD52C8" w:rsidRDefault="00CF37C9" w:rsidP="0005100C">
            <w:pPr>
              <w:spacing w:before="60" w:after="120"/>
              <w:rPr>
                <w:rFonts w:ascii="Arial" w:hAnsi="Arial" w:cs="Arial"/>
              </w:rPr>
            </w:pPr>
            <w:r w:rsidRPr="00DD52C8">
              <w:rPr>
                <w:rFonts w:ascii="Arial" w:hAnsi="Arial" w:cs="Arial"/>
              </w:rPr>
              <w:t>Terms of reference define audit responsibilities in relation to fraud.</w:t>
            </w:r>
          </w:p>
        </w:tc>
        <w:tc>
          <w:tcPr>
            <w:tcW w:w="4387" w:type="dxa"/>
          </w:tcPr>
          <w:p w14:paraId="5B9D7749" w14:textId="77777777" w:rsidR="00487365" w:rsidRPr="00DD52C8" w:rsidRDefault="00487365" w:rsidP="0005100C">
            <w:pPr>
              <w:spacing w:before="60" w:after="120"/>
              <w:rPr>
                <w:rFonts w:ascii="Arial" w:hAnsi="Arial" w:cs="Arial"/>
              </w:rPr>
            </w:pPr>
            <w:r w:rsidRPr="00DD52C8">
              <w:rPr>
                <w:rFonts w:ascii="Arial" w:hAnsi="Arial" w:cs="Arial"/>
              </w:rPr>
              <w:t>Reviewed in March 2020.</w:t>
            </w:r>
          </w:p>
          <w:p w14:paraId="5E6DD477" w14:textId="3A624ED7" w:rsidR="00CF37C9" w:rsidRPr="00DD52C8" w:rsidRDefault="00487365" w:rsidP="0005100C">
            <w:pPr>
              <w:spacing w:before="60" w:after="120"/>
              <w:rPr>
                <w:rFonts w:ascii="Arial" w:hAnsi="Arial" w:cs="Arial"/>
              </w:rPr>
            </w:pPr>
            <w:r w:rsidRPr="00DD52C8">
              <w:rPr>
                <w:rFonts w:ascii="Arial" w:hAnsi="Arial" w:cs="Arial"/>
              </w:rPr>
              <w:t>To be reviewed again in March 202</w:t>
            </w:r>
            <w:r w:rsidR="00E62395">
              <w:rPr>
                <w:rFonts w:ascii="Arial" w:hAnsi="Arial" w:cs="Arial"/>
              </w:rPr>
              <w:t>3</w:t>
            </w:r>
          </w:p>
        </w:tc>
      </w:tr>
      <w:tr w:rsidR="00CF37C9" w:rsidRPr="00DD52C8" w14:paraId="1EA58551" w14:textId="77777777" w:rsidTr="00DD52C8">
        <w:trPr>
          <w:jc w:val="center"/>
        </w:trPr>
        <w:tc>
          <w:tcPr>
            <w:tcW w:w="3823" w:type="dxa"/>
          </w:tcPr>
          <w:p w14:paraId="6861B18C" w14:textId="3F36DEE6"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Independence</w:t>
            </w:r>
          </w:p>
        </w:tc>
        <w:tc>
          <w:tcPr>
            <w:tcW w:w="6804" w:type="dxa"/>
          </w:tcPr>
          <w:p w14:paraId="41117CF6" w14:textId="77777777" w:rsidR="00487365" w:rsidRPr="00DD52C8" w:rsidRDefault="00487365" w:rsidP="0005100C">
            <w:pPr>
              <w:spacing w:before="60" w:after="120"/>
              <w:rPr>
                <w:rFonts w:ascii="Arial" w:hAnsi="Arial" w:cs="Arial"/>
              </w:rPr>
            </w:pPr>
            <w:r w:rsidRPr="00DD52C8">
              <w:rPr>
                <w:rFonts w:ascii="Arial" w:hAnsi="Arial" w:cs="Arial"/>
              </w:rPr>
              <w:t>The Internal Auditor does not live in Everdon and holds no role within the Parish Council.</w:t>
            </w:r>
          </w:p>
          <w:p w14:paraId="56F3BDE3" w14:textId="77777777" w:rsidR="00487365" w:rsidRPr="00DD52C8" w:rsidRDefault="00487365" w:rsidP="0005100C">
            <w:pPr>
              <w:spacing w:before="60" w:after="120"/>
              <w:rPr>
                <w:rFonts w:ascii="Arial" w:hAnsi="Arial" w:cs="Arial"/>
              </w:rPr>
            </w:pPr>
            <w:r w:rsidRPr="00DD52C8">
              <w:rPr>
                <w:rFonts w:ascii="Arial" w:hAnsi="Arial" w:cs="Arial"/>
              </w:rPr>
              <w:t>Standing Orders and Financial Regulations are reviewed annually.</w:t>
            </w:r>
          </w:p>
          <w:p w14:paraId="06E52B5E" w14:textId="5FC8831B" w:rsidR="00CF37C9" w:rsidRPr="00DD52C8" w:rsidRDefault="00487365" w:rsidP="0005100C">
            <w:pPr>
              <w:spacing w:before="60" w:after="120"/>
              <w:rPr>
                <w:rFonts w:ascii="Arial" w:hAnsi="Arial" w:cs="Arial"/>
              </w:rPr>
            </w:pPr>
            <w:r w:rsidRPr="00DD52C8">
              <w:rPr>
                <w:rFonts w:ascii="Arial" w:hAnsi="Arial" w:cs="Arial"/>
              </w:rPr>
              <w:t>Internal Auditor submits report to the Parish Council.</w:t>
            </w:r>
          </w:p>
        </w:tc>
        <w:tc>
          <w:tcPr>
            <w:tcW w:w="4387" w:type="dxa"/>
          </w:tcPr>
          <w:p w14:paraId="20BD7105" w14:textId="77777777" w:rsidR="00CF37C9" w:rsidRPr="00DD52C8" w:rsidRDefault="00CF37C9" w:rsidP="0005100C">
            <w:pPr>
              <w:spacing w:before="60" w:after="120"/>
              <w:rPr>
                <w:rFonts w:ascii="Arial" w:hAnsi="Arial" w:cs="Arial"/>
              </w:rPr>
            </w:pPr>
          </w:p>
        </w:tc>
      </w:tr>
      <w:tr w:rsidR="00CF37C9" w:rsidRPr="00DD52C8" w14:paraId="2F0896A7" w14:textId="77777777" w:rsidTr="00DD52C8">
        <w:trPr>
          <w:jc w:val="center"/>
        </w:trPr>
        <w:tc>
          <w:tcPr>
            <w:tcW w:w="3823" w:type="dxa"/>
          </w:tcPr>
          <w:p w14:paraId="4EF82641" w14:textId="6D34DE00"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Competence</w:t>
            </w:r>
          </w:p>
        </w:tc>
        <w:tc>
          <w:tcPr>
            <w:tcW w:w="6804" w:type="dxa"/>
          </w:tcPr>
          <w:p w14:paraId="20E05D70" w14:textId="604C64B6" w:rsidR="00CF37C9" w:rsidRPr="00DD52C8" w:rsidRDefault="00487365" w:rsidP="0005100C">
            <w:pPr>
              <w:spacing w:before="60" w:after="120"/>
              <w:rPr>
                <w:rFonts w:ascii="Arial" w:hAnsi="Arial" w:cs="Arial"/>
              </w:rPr>
            </w:pPr>
            <w:r w:rsidRPr="00DD52C8">
              <w:rPr>
                <w:rFonts w:ascii="Arial" w:hAnsi="Arial" w:cs="Arial"/>
              </w:rPr>
              <w:t xml:space="preserve">The Council agrees that the internal auditor carries out </w:t>
            </w:r>
            <w:r w:rsidR="00E62395">
              <w:rPr>
                <w:rFonts w:ascii="Arial" w:hAnsi="Arial" w:cs="Arial"/>
              </w:rPr>
              <w:t>their</w:t>
            </w:r>
            <w:r w:rsidRPr="00DD52C8">
              <w:rPr>
                <w:rFonts w:ascii="Arial" w:hAnsi="Arial" w:cs="Arial"/>
              </w:rPr>
              <w:t xml:space="preserve"> work ethically, with integrity and objectivity.</w:t>
            </w:r>
          </w:p>
        </w:tc>
        <w:tc>
          <w:tcPr>
            <w:tcW w:w="4387" w:type="dxa"/>
          </w:tcPr>
          <w:p w14:paraId="5A6D52A6" w14:textId="77777777" w:rsidR="00CF37C9" w:rsidRPr="00DD52C8" w:rsidRDefault="00CF37C9" w:rsidP="0005100C">
            <w:pPr>
              <w:spacing w:before="60" w:after="120"/>
              <w:rPr>
                <w:rFonts w:ascii="Arial" w:hAnsi="Arial" w:cs="Arial"/>
              </w:rPr>
            </w:pPr>
          </w:p>
        </w:tc>
      </w:tr>
      <w:tr w:rsidR="00CF37C9" w:rsidRPr="00DD52C8" w14:paraId="67C2E00B" w14:textId="77777777" w:rsidTr="00DD52C8">
        <w:trPr>
          <w:jc w:val="center"/>
        </w:trPr>
        <w:tc>
          <w:tcPr>
            <w:tcW w:w="3823" w:type="dxa"/>
          </w:tcPr>
          <w:p w14:paraId="7788512B" w14:textId="7BFEB7C7"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Relationships</w:t>
            </w:r>
          </w:p>
        </w:tc>
        <w:tc>
          <w:tcPr>
            <w:tcW w:w="6804" w:type="dxa"/>
          </w:tcPr>
          <w:p w14:paraId="3C7FD35C" w14:textId="77777777" w:rsidR="00487365" w:rsidRPr="00DD52C8" w:rsidRDefault="00487365" w:rsidP="0005100C">
            <w:pPr>
              <w:spacing w:before="60" w:after="120"/>
              <w:rPr>
                <w:rFonts w:ascii="Arial" w:hAnsi="Arial" w:cs="Arial"/>
              </w:rPr>
            </w:pPr>
            <w:r w:rsidRPr="00DD52C8">
              <w:rPr>
                <w:rFonts w:ascii="Arial" w:hAnsi="Arial" w:cs="Arial"/>
              </w:rPr>
              <w:t>The Clerk/RFO meets with the Internal Auditor annually</w:t>
            </w:r>
          </w:p>
          <w:p w14:paraId="0EDC5594" w14:textId="77777777" w:rsidR="00487365" w:rsidRPr="00DD52C8" w:rsidRDefault="00487365" w:rsidP="0005100C">
            <w:pPr>
              <w:pStyle w:val="BodyText"/>
              <w:framePr w:hSpace="0" w:wrap="auto" w:vAnchor="margin" w:hAnchor="text" w:xAlign="left" w:yAlign="inline"/>
              <w:spacing w:after="120"/>
            </w:pPr>
            <w:r w:rsidRPr="00DD52C8">
              <w:t>Responsibilities for Clerk/RFO and internal auditor are defined in relation to internal control, risk management and fraud and corruption matters.</w:t>
            </w:r>
          </w:p>
          <w:p w14:paraId="439EC9EB" w14:textId="35CBCA7C" w:rsidR="00CF37C9" w:rsidRPr="00DD52C8" w:rsidRDefault="00487365" w:rsidP="0005100C">
            <w:pPr>
              <w:spacing w:before="60" w:after="120"/>
              <w:rPr>
                <w:rFonts w:ascii="Arial" w:hAnsi="Arial" w:cs="Arial"/>
              </w:rPr>
            </w:pPr>
            <w:r w:rsidRPr="00DD52C8">
              <w:rPr>
                <w:rFonts w:ascii="Arial" w:hAnsi="Arial" w:cs="Arial"/>
              </w:rPr>
              <w:t xml:space="preserve">The responsibilities of Councillors are understood; training of Councillors is carried out as necessary.  </w:t>
            </w:r>
          </w:p>
        </w:tc>
        <w:tc>
          <w:tcPr>
            <w:tcW w:w="4387" w:type="dxa"/>
          </w:tcPr>
          <w:p w14:paraId="5BA9F159" w14:textId="77777777" w:rsidR="00E62395" w:rsidRDefault="00E62395" w:rsidP="0005100C">
            <w:pPr>
              <w:spacing w:before="60" w:after="120"/>
              <w:rPr>
                <w:rFonts w:ascii="Arial" w:hAnsi="Arial" w:cs="Arial"/>
              </w:rPr>
            </w:pPr>
          </w:p>
          <w:p w14:paraId="1964C0DE" w14:textId="77777777" w:rsidR="00E62395" w:rsidRDefault="00E62395" w:rsidP="0005100C">
            <w:pPr>
              <w:spacing w:before="60" w:after="120"/>
              <w:rPr>
                <w:rFonts w:ascii="Arial" w:hAnsi="Arial" w:cs="Arial"/>
              </w:rPr>
            </w:pPr>
          </w:p>
          <w:p w14:paraId="3DB51A68" w14:textId="219CDA05" w:rsidR="00CF37C9" w:rsidRPr="00DD52C8" w:rsidRDefault="00487365" w:rsidP="0005100C">
            <w:pPr>
              <w:spacing w:before="60" w:after="120"/>
              <w:rPr>
                <w:rFonts w:ascii="Arial" w:hAnsi="Arial" w:cs="Arial"/>
              </w:rPr>
            </w:pPr>
            <w:r w:rsidRPr="00DD52C8">
              <w:rPr>
                <w:rFonts w:ascii="Arial" w:hAnsi="Arial" w:cs="Arial"/>
              </w:rPr>
              <w:t>Councillors attended bespoke NCALC training after the elections.  Further training is provided as and when new courses are available – ongoing.</w:t>
            </w:r>
          </w:p>
        </w:tc>
      </w:tr>
      <w:tr w:rsidR="00CF37C9" w:rsidRPr="00DD52C8" w14:paraId="1F63CFC3" w14:textId="77777777" w:rsidTr="00DD52C8">
        <w:trPr>
          <w:jc w:val="center"/>
        </w:trPr>
        <w:tc>
          <w:tcPr>
            <w:tcW w:w="3823" w:type="dxa"/>
          </w:tcPr>
          <w:p w14:paraId="3A1A0526" w14:textId="23B67C27"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Audit Planning and reporting</w:t>
            </w:r>
          </w:p>
        </w:tc>
        <w:tc>
          <w:tcPr>
            <w:tcW w:w="6804" w:type="dxa"/>
          </w:tcPr>
          <w:p w14:paraId="458CAF3D" w14:textId="77777777" w:rsidR="00487365" w:rsidRPr="00DD52C8" w:rsidRDefault="00487365" w:rsidP="0005100C">
            <w:pPr>
              <w:spacing w:before="60" w:after="120"/>
              <w:rPr>
                <w:rFonts w:ascii="Arial" w:hAnsi="Arial" w:cs="Arial"/>
              </w:rPr>
            </w:pPr>
            <w:r w:rsidRPr="00DD52C8">
              <w:rPr>
                <w:rFonts w:ascii="Arial" w:hAnsi="Arial" w:cs="Arial"/>
              </w:rPr>
              <w:t xml:space="preserve">The Audit Plan properly takes account of corporate risk. </w:t>
            </w:r>
          </w:p>
          <w:p w14:paraId="13446603" w14:textId="412B8D8D" w:rsidR="00CF37C9" w:rsidRPr="00DD52C8" w:rsidRDefault="00487365" w:rsidP="0005100C">
            <w:pPr>
              <w:spacing w:before="60" w:after="120"/>
              <w:rPr>
                <w:rFonts w:ascii="Arial" w:hAnsi="Arial" w:cs="Arial"/>
              </w:rPr>
            </w:pPr>
            <w:r w:rsidRPr="00DD52C8">
              <w:rPr>
                <w:rFonts w:ascii="Arial" w:hAnsi="Arial" w:cs="Arial"/>
              </w:rPr>
              <w:t xml:space="preserve">Date for annual internal audit is agreed between the Clerk/RFO and the Internal Auditor.  </w:t>
            </w:r>
          </w:p>
        </w:tc>
        <w:tc>
          <w:tcPr>
            <w:tcW w:w="4387" w:type="dxa"/>
          </w:tcPr>
          <w:p w14:paraId="420A4773" w14:textId="0FA9ABC2" w:rsidR="00CF37C9" w:rsidRPr="00DD52C8" w:rsidRDefault="00487365" w:rsidP="0005100C">
            <w:pPr>
              <w:spacing w:before="60" w:after="120"/>
              <w:rPr>
                <w:rFonts w:ascii="Arial" w:hAnsi="Arial" w:cs="Arial"/>
              </w:rPr>
            </w:pPr>
            <w:r w:rsidRPr="00DD52C8">
              <w:rPr>
                <w:rFonts w:ascii="Arial" w:hAnsi="Arial" w:cs="Arial"/>
              </w:rPr>
              <w:t xml:space="preserve">Parish Council to review Audit Plan annually  </w:t>
            </w:r>
          </w:p>
        </w:tc>
      </w:tr>
      <w:tr w:rsidR="00CF37C9" w:rsidRPr="00DD52C8" w14:paraId="4FA0F7BE" w14:textId="77777777" w:rsidTr="00DD52C8">
        <w:trPr>
          <w:jc w:val="center"/>
        </w:trPr>
        <w:tc>
          <w:tcPr>
            <w:tcW w:w="3823" w:type="dxa"/>
          </w:tcPr>
          <w:p w14:paraId="53261C2B" w14:textId="06735E30"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Internal audit work is planned</w:t>
            </w:r>
          </w:p>
        </w:tc>
        <w:tc>
          <w:tcPr>
            <w:tcW w:w="6804" w:type="dxa"/>
          </w:tcPr>
          <w:p w14:paraId="5C260B8E" w14:textId="77777777" w:rsidR="00487365" w:rsidRPr="00DD52C8" w:rsidRDefault="00487365" w:rsidP="0005100C">
            <w:pPr>
              <w:spacing w:before="60" w:after="120"/>
              <w:rPr>
                <w:rFonts w:ascii="Arial" w:hAnsi="Arial" w:cs="Arial"/>
              </w:rPr>
            </w:pPr>
            <w:r w:rsidRPr="00DD52C8">
              <w:rPr>
                <w:rFonts w:ascii="Arial" w:hAnsi="Arial" w:cs="Arial"/>
              </w:rPr>
              <w:t>Parish Council reviews Risk Assessment annually.</w:t>
            </w:r>
          </w:p>
          <w:p w14:paraId="3A963C26" w14:textId="77777777" w:rsidR="00487365" w:rsidRPr="00DD52C8" w:rsidRDefault="00487365" w:rsidP="0005100C">
            <w:pPr>
              <w:spacing w:before="60" w:after="120"/>
              <w:rPr>
                <w:rFonts w:ascii="Arial" w:hAnsi="Arial" w:cs="Arial"/>
              </w:rPr>
            </w:pPr>
            <w:r w:rsidRPr="00DD52C8">
              <w:rPr>
                <w:rFonts w:ascii="Arial" w:hAnsi="Arial" w:cs="Arial"/>
              </w:rPr>
              <w:t>Parish Council reviews effectiveness of internal audit annually.</w:t>
            </w:r>
          </w:p>
          <w:p w14:paraId="308E576C" w14:textId="77777777" w:rsidR="00487365" w:rsidRPr="00DD52C8" w:rsidRDefault="00487365" w:rsidP="0005100C">
            <w:pPr>
              <w:spacing w:before="60" w:after="120"/>
              <w:rPr>
                <w:rFonts w:ascii="Arial" w:hAnsi="Arial" w:cs="Arial"/>
              </w:rPr>
            </w:pPr>
            <w:r w:rsidRPr="00DD52C8">
              <w:rPr>
                <w:rFonts w:ascii="Arial" w:hAnsi="Arial" w:cs="Arial"/>
              </w:rPr>
              <w:lastRenderedPageBreak/>
              <w:t>Parish Council maintains an Asset Register &amp; reviews it annually.</w:t>
            </w:r>
          </w:p>
          <w:p w14:paraId="78137D87" w14:textId="5FBC8700" w:rsidR="00CF37C9" w:rsidRPr="00DD52C8" w:rsidRDefault="00487365" w:rsidP="0005100C">
            <w:pPr>
              <w:spacing w:before="60" w:after="120"/>
              <w:rPr>
                <w:rFonts w:ascii="Arial" w:hAnsi="Arial" w:cs="Arial"/>
              </w:rPr>
            </w:pPr>
            <w:r w:rsidRPr="00DD52C8">
              <w:rPr>
                <w:rFonts w:ascii="Arial" w:hAnsi="Arial" w:cs="Arial"/>
              </w:rPr>
              <w:t>Annual Return is published on the Council’s noticeboard and website</w:t>
            </w:r>
          </w:p>
        </w:tc>
        <w:tc>
          <w:tcPr>
            <w:tcW w:w="4387" w:type="dxa"/>
          </w:tcPr>
          <w:p w14:paraId="1EC39111" w14:textId="3BCF298B" w:rsidR="00CF37C9" w:rsidRPr="00DD52C8" w:rsidRDefault="00487365" w:rsidP="0005100C">
            <w:pPr>
              <w:spacing w:before="60" w:after="120"/>
              <w:rPr>
                <w:rFonts w:ascii="Arial" w:hAnsi="Arial" w:cs="Arial"/>
              </w:rPr>
            </w:pPr>
            <w:r w:rsidRPr="00DD52C8">
              <w:rPr>
                <w:rFonts w:ascii="Arial" w:hAnsi="Arial" w:cs="Arial"/>
              </w:rPr>
              <w:lastRenderedPageBreak/>
              <w:t>Ongoing</w:t>
            </w:r>
          </w:p>
        </w:tc>
      </w:tr>
      <w:tr w:rsidR="00CF37C9" w:rsidRPr="00DD52C8" w14:paraId="474C1685" w14:textId="77777777" w:rsidTr="00DD52C8">
        <w:trPr>
          <w:jc w:val="center"/>
        </w:trPr>
        <w:tc>
          <w:tcPr>
            <w:tcW w:w="3823" w:type="dxa"/>
          </w:tcPr>
          <w:p w14:paraId="6D4D0132" w14:textId="416CA6C9" w:rsidR="00CF37C9" w:rsidRPr="00DD52C8" w:rsidRDefault="00487365" w:rsidP="0005100C">
            <w:pPr>
              <w:pStyle w:val="ListParagraph"/>
              <w:numPr>
                <w:ilvl w:val="0"/>
                <w:numId w:val="2"/>
              </w:numPr>
              <w:spacing w:before="60" w:after="120"/>
              <w:rPr>
                <w:rFonts w:ascii="Arial" w:hAnsi="Arial" w:cs="Arial"/>
              </w:rPr>
            </w:pPr>
            <w:r w:rsidRPr="00DD52C8">
              <w:rPr>
                <w:rFonts w:ascii="Arial" w:hAnsi="Arial" w:cs="Arial"/>
              </w:rPr>
              <w:t>Understanding the Parish Council’s needs and objectives</w:t>
            </w:r>
          </w:p>
        </w:tc>
        <w:tc>
          <w:tcPr>
            <w:tcW w:w="6804" w:type="dxa"/>
          </w:tcPr>
          <w:p w14:paraId="3E33DED0" w14:textId="51398A59" w:rsidR="00CF37C9" w:rsidRPr="00DD52C8" w:rsidRDefault="00487365" w:rsidP="0005100C">
            <w:pPr>
              <w:spacing w:before="60" w:after="120"/>
              <w:rPr>
                <w:rFonts w:ascii="Arial" w:hAnsi="Arial" w:cs="Arial"/>
              </w:rPr>
            </w:pPr>
            <w:r w:rsidRPr="00DD52C8">
              <w:rPr>
                <w:rFonts w:ascii="Arial" w:hAnsi="Arial" w:cs="Arial"/>
              </w:rPr>
              <w:t>The annual audit plan demonstrates how audit work will provide assurance in relation to the body’s annual governance statement.</w:t>
            </w:r>
          </w:p>
        </w:tc>
        <w:tc>
          <w:tcPr>
            <w:tcW w:w="4387" w:type="dxa"/>
          </w:tcPr>
          <w:p w14:paraId="66F7B0F2" w14:textId="77777777" w:rsidR="00CF37C9" w:rsidRPr="00DD52C8" w:rsidRDefault="00CF37C9" w:rsidP="0005100C">
            <w:pPr>
              <w:spacing w:before="60" w:after="120"/>
              <w:rPr>
                <w:rFonts w:ascii="Arial" w:hAnsi="Arial" w:cs="Arial"/>
              </w:rPr>
            </w:pPr>
          </w:p>
        </w:tc>
      </w:tr>
      <w:tr w:rsidR="00CF37C9" w:rsidRPr="00DD52C8" w14:paraId="27169E70" w14:textId="77777777" w:rsidTr="00DD52C8">
        <w:trPr>
          <w:jc w:val="center"/>
        </w:trPr>
        <w:tc>
          <w:tcPr>
            <w:tcW w:w="3823" w:type="dxa"/>
            <w:shd w:val="clear" w:color="auto" w:fill="D9D9D9" w:themeFill="background1" w:themeFillShade="D9"/>
          </w:tcPr>
          <w:p w14:paraId="4D08C7A7" w14:textId="3EE65063" w:rsidR="00CF37C9" w:rsidRPr="00DD52C8" w:rsidRDefault="00DD52C8" w:rsidP="0005100C">
            <w:pPr>
              <w:pStyle w:val="Heading3"/>
              <w:framePr w:hSpace="0" w:wrap="auto" w:vAnchor="margin" w:hAnchor="text" w:xAlign="left" w:yAlign="inline"/>
              <w:spacing w:after="120"/>
              <w:outlineLvl w:val="2"/>
            </w:pPr>
            <w:r w:rsidRPr="00DD52C8">
              <w:t>Effectiveness of audit</w:t>
            </w:r>
          </w:p>
        </w:tc>
        <w:tc>
          <w:tcPr>
            <w:tcW w:w="6804" w:type="dxa"/>
            <w:shd w:val="clear" w:color="auto" w:fill="D9D9D9" w:themeFill="background1" w:themeFillShade="D9"/>
          </w:tcPr>
          <w:p w14:paraId="64E03B9D" w14:textId="77777777" w:rsidR="00CF37C9" w:rsidRPr="00DD52C8" w:rsidRDefault="00CF37C9" w:rsidP="0005100C">
            <w:pPr>
              <w:spacing w:before="60" w:after="120"/>
              <w:rPr>
                <w:rFonts w:ascii="Arial" w:hAnsi="Arial" w:cs="Arial"/>
              </w:rPr>
            </w:pPr>
          </w:p>
        </w:tc>
        <w:tc>
          <w:tcPr>
            <w:tcW w:w="4387" w:type="dxa"/>
            <w:shd w:val="clear" w:color="auto" w:fill="D9D9D9" w:themeFill="background1" w:themeFillShade="D9"/>
          </w:tcPr>
          <w:p w14:paraId="095BF019" w14:textId="77777777" w:rsidR="00CF37C9" w:rsidRPr="00DD52C8" w:rsidRDefault="00CF37C9" w:rsidP="0005100C">
            <w:pPr>
              <w:spacing w:before="60" w:after="120"/>
              <w:rPr>
                <w:rFonts w:ascii="Arial" w:hAnsi="Arial" w:cs="Arial"/>
              </w:rPr>
            </w:pPr>
          </w:p>
        </w:tc>
      </w:tr>
      <w:tr w:rsidR="00DD52C8" w:rsidRPr="00DD52C8" w14:paraId="3A084926" w14:textId="77777777" w:rsidTr="00DD52C8">
        <w:trPr>
          <w:jc w:val="center"/>
        </w:trPr>
        <w:tc>
          <w:tcPr>
            <w:tcW w:w="3823" w:type="dxa"/>
          </w:tcPr>
          <w:p w14:paraId="29C900BC" w14:textId="397C273B" w:rsidR="00DD52C8" w:rsidRPr="00DD52C8" w:rsidRDefault="00DD52C8" w:rsidP="0005100C">
            <w:pPr>
              <w:spacing w:before="60" w:after="120"/>
              <w:rPr>
                <w:rFonts w:ascii="Arial" w:hAnsi="Arial" w:cs="Arial"/>
                <w:b/>
              </w:rPr>
            </w:pPr>
            <w:r w:rsidRPr="00DD52C8">
              <w:rPr>
                <w:rFonts w:ascii="Arial" w:hAnsi="Arial" w:cs="Arial"/>
                <w:b/>
              </w:rPr>
              <w:t>Characteristics of ‘effectiveness’</w:t>
            </w:r>
          </w:p>
        </w:tc>
        <w:tc>
          <w:tcPr>
            <w:tcW w:w="6804" w:type="dxa"/>
          </w:tcPr>
          <w:p w14:paraId="1F2E022B" w14:textId="6AF9E27D" w:rsidR="00DD52C8" w:rsidRPr="00DD52C8" w:rsidRDefault="00DD52C8" w:rsidP="0005100C">
            <w:pPr>
              <w:spacing w:before="60" w:after="120"/>
              <w:rPr>
                <w:rFonts w:ascii="Arial" w:hAnsi="Arial" w:cs="Arial"/>
                <w:b/>
              </w:rPr>
            </w:pPr>
            <w:r w:rsidRPr="00DD52C8">
              <w:rPr>
                <w:rFonts w:ascii="Arial" w:hAnsi="Arial" w:cs="Arial"/>
                <w:b/>
              </w:rPr>
              <w:t>Evidence of Achievement</w:t>
            </w:r>
          </w:p>
        </w:tc>
        <w:tc>
          <w:tcPr>
            <w:tcW w:w="4387" w:type="dxa"/>
          </w:tcPr>
          <w:p w14:paraId="4315E53E" w14:textId="0F72D05F" w:rsidR="00DD52C8" w:rsidRPr="00DD52C8" w:rsidRDefault="00DD52C8" w:rsidP="0005100C">
            <w:pPr>
              <w:spacing w:before="60" w:after="120"/>
              <w:rPr>
                <w:rFonts w:ascii="Arial" w:hAnsi="Arial" w:cs="Arial"/>
                <w:b/>
              </w:rPr>
            </w:pPr>
            <w:r w:rsidRPr="00DD52C8">
              <w:rPr>
                <w:rFonts w:ascii="Arial" w:hAnsi="Arial" w:cs="Arial"/>
                <w:b/>
              </w:rPr>
              <w:t>Areas for development</w:t>
            </w:r>
          </w:p>
        </w:tc>
      </w:tr>
      <w:tr w:rsidR="00DD52C8" w:rsidRPr="00DD52C8" w14:paraId="35370938" w14:textId="77777777" w:rsidTr="00DD52C8">
        <w:trPr>
          <w:jc w:val="center"/>
        </w:trPr>
        <w:tc>
          <w:tcPr>
            <w:tcW w:w="3823" w:type="dxa"/>
          </w:tcPr>
          <w:p w14:paraId="6AEB1789" w14:textId="1657F3F2" w:rsidR="00DD52C8" w:rsidRPr="00DD52C8" w:rsidRDefault="00DD52C8" w:rsidP="0005100C">
            <w:pPr>
              <w:pStyle w:val="ListParagraph"/>
              <w:numPr>
                <w:ilvl w:val="0"/>
                <w:numId w:val="2"/>
              </w:numPr>
              <w:spacing w:before="60" w:after="120"/>
              <w:rPr>
                <w:rFonts w:ascii="Arial" w:hAnsi="Arial" w:cs="Arial"/>
              </w:rPr>
            </w:pPr>
            <w:r w:rsidRPr="00DD52C8">
              <w:rPr>
                <w:rFonts w:ascii="Arial" w:hAnsi="Arial" w:cs="Arial"/>
              </w:rPr>
              <w:t>Be seen as a catalyst for change</w:t>
            </w:r>
          </w:p>
        </w:tc>
        <w:tc>
          <w:tcPr>
            <w:tcW w:w="6804" w:type="dxa"/>
          </w:tcPr>
          <w:p w14:paraId="0B402414" w14:textId="77777777" w:rsidR="00DD52C8" w:rsidRPr="00DD52C8" w:rsidRDefault="00DD52C8" w:rsidP="0005100C">
            <w:pPr>
              <w:pStyle w:val="Tabletext"/>
              <w:spacing w:after="120"/>
              <w:rPr>
                <w:rFonts w:cs="Arial"/>
                <w:sz w:val="22"/>
                <w:szCs w:val="22"/>
              </w:rPr>
            </w:pPr>
            <w:r w:rsidRPr="00DD52C8">
              <w:rPr>
                <w:rFonts w:cs="Arial"/>
                <w:sz w:val="22"/>
                <w:szCs w:val="22"/>
              </w:rPr>
              <w:t xml:space="preserve">Supportive role of audit for corporate developments such as corporate governance review, risk management and ethics. </w:t>
            </w:r>
          </w:p>
          <w:p w14:paraId="36B4BC1A" w14:textId="4337B76C" w:rsidR="00DD52C8" w:rsidRPr="00DD52C8" w:rsidRDefault="00DD52C8" w:rsidP="0005100C">
            <w:pPr>
              <w:pStyle w:val="Tabletext"/>
              <w:spacing w:after="120"/>
              <w:rPr>
                <w:rFonts w:cs="Arial"/>
                <w:sz w:val="22"/>
                <w:szCs w:val="22"/>
              </w:rPr>
            </w:pPr>
            <w:r w:rsidRPr="00DD52C8">
              <w:rPr>
                <w:rFonts w:cs="Arial"/>
                <w:sz w:val="22"/>
                <w:szCs w:val="22"/>
              </w:rPr>
              <w:t>Parish Council:</w:t>
            </w:r>
          </w:p>
          <w:p w14:paraId="4EA10B0F" w14:textId="77777777" w:rsidR="00DD52C8" w:rsidRPr="00DD52C8" w:rsidRDefault="00DD52C8" w:rsidP="0005100C">
            <w:pPr>
              <w:pStyle w:val="Tabletext"/>
              <w:numPr>
                <w:ilvl w:val="0"/>
                <w:numId w:val="3"/>
              </w:numPr>
              <w:spacing w:after="120"/>
              <w:rPr>
                <w:rFonts w:cs="Arial"/>
                <w:sz w:val="22"/>
                <w:szCs w:val="22"/>
              </w:rPr>
            </w:pPr>
            <w:r w:rsidRPr="00DD52C8">
              <w:rPr>
                <w:rFonts w:cs="Arial"/>
                <w:sz w:val="22"/>
                <w:szCs w:val="22"/>
              </w:rPr>
              <w:t xml:space="preserve">Approves Risk Assessment annually </w:t>
            </w:r>
          </w:p>
          <w:p w14:paraId="13322195" w14:textId="77777777" w:rsidR="00DD52C8" w:rsidRPr="00DD52C8" w:rsidRDefault="00DD52C8" w:rsidP="0005100C">
            <w:pPr>
              <w:pStyle w:val="Tabletext"/>
              <w:numPr>
                <w:ilvl w:val="0"/>
                <w:numId w:val="3"/>
              </w:numPr>
              <w:spacing w:after="120"/>
              <w:rPr>
                <w:rFonts w:cs="Arial"/>
                <w:sz w:val="22"/>
                <w:szCs w:val="22"/>
              </w:rPr>
            </w:pPr>
            <w:r w:rsidRPr="00DD52C8">
              <w:rPr>
                <w:rFonts w:cs="Arial"/>
                <w:sz w:val="22"/>
                <w:szCs w:val="22"/>
              </w:rPr>
              <w:t>Reviews and renews insurance cover annually in May</w:t>
            </w:r>
          </w:p>
          <w:p w14:paraId="053F1086" w14:textId="77777777" w:rsidR="00DD52C8" w:rsidRPr="00DD52C8" w:rsidRDefault="00DD52C8" w:rsidP="0005100C">
            <w:pPr>
              <w:pStyle w:val="Tabletext"/>
              <w:numPr>
                <w:ilvl w:val="0"/>
                <w:numId w:val="3"/>
              </w:numPr>
              <w:spacing w:after="120"/>
              <w:rPr>
                <w:rFonts w:cs="Arial"/>
                <w:sz w:val="22"/>
                <w:szCs w:val="22"/>
              </w:rPr>
            </w:pPr>
            <w:r w:rsidRPr="00DD52C8">
              <w:rPr>
                <w:rFonts w:cs="Arial"/>
                <w:sz w:val="22"/>
                <w:szCs w:val="22"/>
              </w:rPr>
              <w:t>Issues bank reconciliations monthly and publishes it on the website</w:t>
            </w:r>
          </w:p>
          <w:p w14:paraId="57F2CFB7" w14:textId="5F698B6B" w:rsidR="00DD52C8" w:rsidRPr="00DD52C8" w:rsidRDefault="00DD52C8" w:rsidP="0005100C">
            <w:pPr>
              <w:spacing w:before="60" w:after="120"/>
              <w:rPr>
                <w:rFonts w:ascii="Arial" w:hAnsi="Arial" w:cs="Arial"/>
              </w:rPr>
            </w:pPr>
            <w:r w:rsidRPr="00DD52C8">
              <w:rPr>
                <w:rFonts w:ascii="Arial" w:hAnsi="Arial" w:cs="Arial"/>
              </w:rPr>
              <w:t>Reviews expenditure against budget monthly and displays it on website</w:t>
            </w:r>
            <w:bookmarkStart w:id="0" w:name="_GoBack"/>
            <w:bookmarkEnd w:id="0"/>
          </w:p>
        </w:tc>
        <w:tc>
          <w:tcPr>
            <w:tcW w:w="4387" w:type="dxa"/>
          </w:tcPr>
          <w:p w14:paraId="19177D85" w14:textId="77777777" w:rsidR="00DD52C8" w:rsidRPr="00DD52C8" w:rsidRDefault="00DD52C8" w:rsidP="0005100C">
            <w:pPr>
              <w:spacing w:before="60" w:after="120"/>
              <w:rPr>
                <w:rFonts w:ascii="Arial" w:hAnsi="Arial" w:cs="Arial"/>
              </w:rPr>
            </w:pPr>
          </w:p>
        </w:tc>
      </w:tr>
      <w:tr w:rsidR="00DD52C8" w:rsidRPr="00DD52C8" w14:paraId="734A20AD" w14:textId="77777777" w:rsidTr="00DD52C8">
        <w:trPr>
          <w:jc w:val="center"/>
        </w:trPr>
        <w:tc>
          <w:tcPr>
            <w:tcW w:w="3823" w:type="dxa"/>
          </w:tcPr>
          <w:p w14:paraId="1B698223" w14:textId="4BE0AB8E" w:rsidR="00DD52C8" w:rsidRPr="00DD52C8" w:rsidRDefault="00DD52C8" w:rsidP="0005100C">
            <w:pPr>
              <w:pStyle w:val="ListParagraph"/>
              <w:numPr>
                <w:ilvl w:val="0"/>
                <w:numId w:val="2"/>
              </w:numPr>
              <w:spacing w:before="60" w:after="120"/>
              <w:rPr>
                <w:rFonts w:ascii="Arial" w:hAnsi="Arial" w:cs="Arial"/>
              </w:rPr>
            </w:pPr>
            <w:r w:rsidRPr="00DD52C8">
              <w:rPr>
                <w:rFonts w:ascii="Arial" w:hAnsi="Arial" w:cs="Arial"/>
              </w:rPr>
              <w:t>Add value and assist the Council in achieving its objectives</w:t>
            </w:r>
          </w:p>
        </w:tc>
        <w:tc>
          <w:tcPr>
            <w:tcW w:w="6804" w:type="dxa"/>
          </w:tcPr>
          <w:p w14:paraId="39B2358F" w14:textId="4ECB1D89" w:rsidR="00DD52C8" w:rsidRPr="00DD52C8" w:rsidRDefault="00DD52C8" w:rsidP="0005100C">
            <w:pPr>
              <w:spacing w:before="60" w:after="120"/>
              <w:rPr>
                <w:rFonts w:ascii="Arial" w:hAnsi="Arial" w:cs="Arial"/>
              </w:rPr>
            </w:pPr>
            <w:r w:rsidRPr="00DD52C8">
              <w:rPr>
                <w:rFonts w:ascii="Arial" w:hAnsi="Arial" w:cs="Arial"/>
              </w:rPr>
              <w:t>Demonstrated through positive responses to recommendations and follow up action where called for.</w:t>
            </w:r>
          </w:p>
        </w:tc>
        <w:tc>
          <w:tcPr>
            <w:tcW w:w="4387" w:type="dxa"/>
          </w:tcPr>
          <w:p w14:paraId="04BD7550" w14:textId="5A08ADD9" w:rsidR="00DD52C8" w:rsidRPr="00DD52C8" w:rsidRDefault="00DD52C8" w:rsidP="0005100C">
            <w:pPr>
              <w:spacing w:before="60" w:after="120"/>
              <w:rPr>
                <w:rFonts w:ascii="Arial" w:hAnsi="Arial" w:cs="Arial"/>
              </w:rPr>
            </w:pPr>
            <w:r w:rsidRPr="00DD52C8">
              <w:rPr>
                <w:rFonts w:ascii="Arial" w:hAnsi="Arial" w:cs="Arial"/>
              </w:rPr>
              <w:t>Continue to receive, monitor and, if necessary, challenge the Auditor’s reports.</w:t>
            </w:r>
          </w:p>
        </w:tc>
      </w:tr>
      <w:tr w:rsidR="00DD52C8" w:rsidRPr="00DD52C8" w14:paraId="1177EE4F" w14:textId="77777777" w:rsidTr="00DD52C8">
        <w:trPr>
          <w:jc w:val="center"/>
        </w:trPr>
        <w:tc>
          <w:tcPr>
            <w:tcW w:w="3823" w:type="dxa"/>
          </w:tcPr>
          <w:p w14:paraId="3F014C23" w14:textId="23591AC4" w:rsidR="00DD52C8" w:rsidRPr="00DD52C8" w:rsidRDefault="00DD52C8" w:rsidP="0005100C">
            <w:pPr>
              <w:pStyle w:val="ListParagraph"/>
              <w:numPr>
                <w:ilvl w:val="0"/>
                <w:numId w:val="2"/>
              </w:numPr>
              <w:spacing w:before="60" w:after="120"/>
              <w:rPr>
                <w:rFonts w:ascii="Arial" w:hAnsi="Arial" w:cs="Arial"/>
              </w:rPr>
            </w:pPr>
            <w:r w:rsidRPr="00DD52C8">
              <w:rPr>
                <w:rFonts w:ascii="Arial" w:hAnsi="Arial" w:cs="Arial"/>
              </w:rPr>
              <w:t>Be forward looking</w:t>
            </w:r>
          </w:p>
        </w:tc>
        <w:tc>
          <w:tcPr>
            <w:tcW w:w="6804" w:type="dxa"/>
          </w:tcPr>
          <w:p w14:paraId="2FD2A319" w14:textId="3B93669D" w:rsidR="00DD52C8" w:rsidRPr="00DD52C8" w:rsidRDefault="00DD52C8" w:rsidP="0005100C">
            <w:pPr>
              <w:spacing w:before="60" w:after="120"/>
              <w:rPr>
                <w:rFonts w:ascii="Arial" w:hAnsi="Arial" w:cs="Arial"/>
              </w:rPr>
            </w:pPr>
            <w:r w:rsidRPr="00DD52C8">
              <w:rPr>
                <w:rFonts w:ascii="Arial" w:hAnsi="Arial" w:cs="Arial"/>
              </w:rPr>
              <w:t>When identifying risks and in formulating the annual audit plan, changes on national agenda are considered. Internal audit maintains awareness of new developments in the services, risk management and corporate governance.</w:t>
            </w:r>
          </w:p>
        </w:tc>
        <w:tc>
          <w:tcPr>
            <w:tcW w:w="4387" w:type="dxa"/>
          </w:tcPr>
          <w:p w14:paraId="3EC7C907" w14:textId="3900FB32" w:rsidR="00DD52C8" w:rsidRPr="00DD52C8" w:rsidRDefault="00DD52C8" w:rsidP="0005100C">
            <w:pPr>
              <w:spacing w:before="60" w:after="120"/>
              <w:rPr>
                <w:rFonts w:ascii="Arial" w:hAnsi="Arial" w:cs="Arial"/>
              </w:rPr>
            </w:pPr>
            <w:r w:rsidRPr="00DD52C8">
              <w:rPr>
                <w:rFonts w:ascii="Arial" w:hAnsi="Arial" w:cs="Arial"/>
              </w:rPr>
              <w:t>Review annually</w:t>
            </w:r>
          </w:p>
        </w:tc>
      </w:tr>
      <w:tr w:rsidR="00DD52C8" w:rsidRPr="00DD52C8" w14:paraId="1B01461A" w14:textId="77777777" w:rsidTr="00DD52C8">
        <w:trPr>
          <w:jc w:val="center"/>
        </w:trPr>
        <w:tc>
          <w:tcPr>
            <w:tcW w:w="3823" w:type="dxa"/>
          </w:tcPr>
          <w:p w14:paraId="7DD489E6" w14:textId="44B5F020" w:rsidR="00DD52C8" w:rsidRPr="00DD52C8" w:rsidRDefault="00DD52C8" w:rsidP="0005100C">
            <w:pPr>
              <w:pStyle w:val="ListParagraph"/>
              <w:numPr>
                <w:ilvl w:val="0"/>
                <w:numId w:val="2"/>
              </w:numPr>
              <w:spacing w:before="60" w:after="120"/>
              <w:rPr>
                <w:rFonts w:ascii="Arial" w:hAnsi="Arial" w:cs="Arial"/>
              </w:rPr>
            </w:pPr>
            <w:r w:rsidRPr="00DD52C8">
              <w:rPr>
                <w:rFonts w:ascii="Arial" w:hAnsi="Arial" w:cs="Arial"/>
              </w:rPr>
              <w:t xml:space="preserve">Be challenging  </w:t>
            </w:r>
          </w:p>
        </w:tc>
        <w:tc>
          <w:tcPr>
            <w:tcW w:w="6804" w:type="dxa"/>
          </w:tcPr>
          <w:p w14:paraId="5DBB42E6" w14:textId="73F2D914" w:rsidR="00DD52C8" w:rsidRPr="00DD52C8" w:rsidRDefault="00DD52C8" w:rsidP="0005100C">
            <w:pPr>
              <w:spacing w:before="60" w:after="120"/>
              <w:rPr>
                <w:rFonts w:ascii="Arial" w:hAnsi="Arial" w:cs="Arial"/>
              </w:rPr>
            </w:pPr>
            <w:r w:rsidRPr="00DD52C8">
              <w:rPr>
                <w:rFonts w:ascii="Arial" w:hAnsi="Arial" w:cs="Arial"/>
              </w:rPr>
              <w:t>Internal audit focuses on risks and encourages Councillors to develop their own responses to risks, rather than relying solely on audit recommendations. The aim of this is to encourage greater ownership of the control environment.</w:t>
            </w:r>
          </w:p>
        </w:tc>
        <w:tc>
          <w:tcPr>
            <w:tcW w:w="4387" w:type="dxa"/>
          </w:tcPr>
          <w:p w14:paraId="7402659E" w14:textId="77777777" w:rsidR="00DD52C8" w:rsidRPr="00DD52C8" w:rsidRDefault="00DD52C8" w:rsidP="0005100C">
            <w:pPr>
              <w:spacing w:before="60" w:after="120"/>
              <w:rPr>
                <w:rFonts w:ascii="Arial" w:hAnsi="Arial" w:cs="Arial"/>
              </w:rPr>
            </w:pPr>
          </w:p>
        </w:tc>
      </w:tr>
      <w:tr w:rsidR="00DD52C8" w:rsidRPr="00DD52C8" w14:paraId="5BB36565" w14:textId="77777777" w:rsidTr="00DD52C8">
        <w:trPr>
          <w:jc w:val="center"/>
        </w:trPr>
        <w:tc>
          <w:tcPr>
            <w:tcW w:w="3823" w:type="dxa"/>
          </w:tcPr>
          <w:p w14:paraId="3DAF114B" w14:textId="251D04DF" w:rsidR="00DD52C8" w:rsidRPr="00DD52C8" w:rsidRDefault="00DD52C8" w:rsidP="0005100C">
            <w:pPr>
              <w:pStyle w:val="ListParagraph"/>
              <w:numPr>
                <w:ilvl w:val="0"/>
                <w:numId w:val="2"/>
              </w:numPr>
              <w:spacing w:before="60" w:after="120"/>
              <w:rPr>
                <w:rFonts w:ascii="Arial" w:hAnsi="Arial" w:cs="Arial"/>
              </w:rPr>
            </w:pPr>
            <w:r w:rsidRPr="00DD52C8">
              <w:rPr>
                <w:rFonts w:ascii="Arial" w:hAnsi="Arial" w:cs="Arial"/>
              </w:rPr>
              <w:t>Ensure the right resources are available</w:t>
            </w:r>
          </w:p>
        </w:tc>
        <w:tc>
          <w:tcPr>
            <w:tcW w:w="6804" w:type="dxa"/>
          </w:tcPr>
          <w:p w14:paraId="13A539EF" w14:textId="0E578E55" w:rsidR="00DD52C8" w:rsidRPr="00DD52C8" w:rsidRDefault="00DD52C8" w:rsidP="0005100C">
            <w:pPr>
              <w:pStyle w:val="Tabletext"/>
              <w:spacing w:after="120"/>
              <w:rPr>
                <w:rFonts w:cs="Arial"/>
                <w:sz w:val="22"/>
                <w:szCs w:val="22"/>
              </w:rPr>
            </w:pPr>
            <w:r w:rsidRPr="00DD52C8">
              <w:rPr>
                <w:rFonts w:cs="Arial"/>
                <w:sz w:val="22"/>
                <w:szCs w:val="22"/>
              </w:rPr>
              <w:t>Adequate resource is made available for internal auditor to complete his/her work</w:t>
            </w:r>
            <w:r>
              <w:rPr>
                <w:rFonts w:cs="Arial"/>
                <w:sz w:val="22"/>
                <w:szCs w:val="22"/>
              </w:rPr>
              <w:t>:</w:t>
            </w:r>
            <w:r w:rsidRPr="00DD52C8">
              <w:rPr>
                <w:rFonts w:cs="Arial"/>
                <w:sz w:val="22"/>
                <w:szCs w:val="22"/>
              </w:rPr>
              <w:t xml:space="preserve"> </w:t>
            </w:r>
          </w:p>
          <w:p w14:paraId="44AC51CD"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Agendas</w:t>
            </w:r>
          </w:p>
          <w:p w14:paraId="21CB065B"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lastRenderedPageBreak/>
              <w:t>Minutes</w:t>
            </w:r>
          </w:p>
          <w:p w14:paraId="04BFA595"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Policies</w:t>
            </w:r>
          </w:p>
          <w:p w14:paraId="473FF469"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Invoices / financial files</w:t>
            </w:r>
          </w:p>
          <w:p w14:paraId="7B902B38"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 xml:space="preserve">Standing Orders </w:t>
            </w:r>
          </w:p>
          <w:p w14:paraId="64D703B2"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Financial Regulations</w:t>
            </w:r>
          </w:p>
          <w:p w14:paraId="27B5A359"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Receipts and payments records</w:t>
            </w:r>
          </w:p>
          <w:p w14:paraId="7E486572"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Cheque book and stubs</w:t>
            </w:r>
          </w:p>
          <w:p w14:paraId="3A68B7A2"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Bank statements</w:t>
            </w:r>
          </w:p>
          <w:p w14:paraId="5E598702"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Asset register</w:t>
            </w:r>
          </w:p>
          <w:p w14:paraId="2B9D4AAB"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Staff payment records / PAYE</w:t>
            </w:r>
          </w:p>
          <w:p w14:paraId="4C464E06"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Insurance policy</w:t>
            </w:r>
          </w:p>
          <w:p w14:paraId="402C1618"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VAT returns/records</w:t>
            </w:r>
          </w:p>
          <w:p w14:paraId="76586F5B" w14:textId="77777777"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Budget/Precept details/breakdown</w:t>
            </w:r>
          </w:p>
          <w:p w14:paraId="4F76CBCC" w14:textId="77777777" w:rsidR="0005100C" w:rsidRDefault="00DD52C8" w:rsidP="0005100C">
            <w:pPr>
              <w:pStyle w:val="ListParagraph"/>
              <w:numPr>
                <w:ilvl w:val="0"/>
                <w:numId w:val="4"/>
              </w:numPr>
              <w:spacing w:after="120"/>
              <w:rPr>
                <w:rFonts w:ascii="Arial" w:hAnsi="Arial" w:cs="Arial"/>
              </w:rPr>
            </w:pPr>
            <w:r w:rsidRPr="0005100C">
              <w:rPr>
                <w:rFonts w:ascii="Arial" w:hAnsi="Arial" w:cs="Arial"/>
              </w:rPr>
              <w:t>End of year accounts</w:t>
            </w:r>
          </w:p>
          <w:p w14:paraId="0037407E" w14:textId="4FA386CA" w:rsidR="00DD52C8" w:rsidRPr="0005100C" w:rsidRDefault="00DD52C8" w:rsidP="0005100C">
            <w:pPr>
              <w:pStyle w:val="ListParagraph"/>
              <w:numPr>
                <w:ilvl w:val="0"/>
                <w:numId w:val="4"/>
              </w:numPr>
              <w:spacing w:after="120"/>
              <w:rPr>
                <w:rFonts w:ascii="Arial" w:hAnsi="Arial" w:cs="Arial"/>
              </w:rPr>
            </w:pPr>
            <w:r w:rsidRPr="0005100C">
              <w:rPr>
                <w:rFonts w:ascii="Arial" w:hAnsi="Arial" w:cs="Arial"/>
              </w:rPr>
              <w:t>AGAR</w:t>
            </w:r>
          </w:p>
        </w:tc>
        <w:tc>
          <w:tcPr>
            <w:tcW w:w="4387" w:type="dxa"/>
          </w:tcPr>
          <w:p w14:paraId="62B1D7DF" w14:textId="77777777" w:rsidR="00DD52C8" w:rsidRPr="00DD52C8" w:rsidRDefault="00DD52C8" w:rsidP="0005100C">
            <w:pPr>
              <w:spacing w:before="60" w:after="120"/>
              <w:rPr>
                <w:rFonts w:ascii="Arial" w:hAnsi="Arial" w:cs="Arial"/>
              </w:rPr>
            </w:pPr>
          </w:p>
        </w:tc>
      </w:tr>
    </w:tbl>
    <w:p w14:paraId="612E4313" w14:textId="09C23E94" w:rsidR="002650BB" w:rsidRDefault="002650BB" w:rsidP="00487365">
      <w:pPr>
        <w:pStyle w:val="Heading2"/>
        <w:spacing w:before="0"/>
        <w:rPr>
          <w:rFonts w:ascii="Arial" w:hAnsi="Arial" w:cs="Arial"/>
          <w:color w:val="auto"/>
        </w:rPr>
      </w:pPr>
    </w:p>
    <w:p w14:paraId="7BE77660" w14:textId="18268498" w:rsidR="00FC3E40" w:rsidRDefault="00FC3E40" w:rsidP="00FC3E40"/>
    <w:p w14:paraId="18B97A16" w14:textId="77777777" w:rsidR="00FC3E40" w:rsidRDefault="00FC3E40" w:rsidP="00FC3E40"/>
    <w:tbl>
      <w:tblPr>
        <w:tblStyle w:val="TableGrid"/>
        <w:tblpPr w:leftFromText="180" w:rightFromText="180" w:vertAnchor="text" w:horzAnchor="margin" w:tblpY="693"/>
        <w:tblW w:w="15021" w:type="dxa"/>
        <w:tblLook w:val="04A0" w:firstRow="1" w:lastRow="0" w:firstColumn="1" w:lastColumn="0" w:noHBand="0" w:noVBand="1"/>
      </w:tblPr>
      <w:tblGrid>
        <w:gridCol w:w="3823"/>
        <w:gridCol w:w="11198"/>
      </w:tblGrid>
      <w:tr w:rsidR="0005100C" w:rsidRPr="00A270D0" w14:paraId="014ACD97" w14:textId="77777777" w:rsidTr="0005100C">
        <w:tc>
          <w:tcPr>
            <w:tcW w:w="3823" w:type="dxa"/>
          </w:tcPr>
          <w:p w14:paraId="525D85BC" w14:textId="77777777" w:rsidR="0005100C" w:rsidRPr="00A270D0" w:rsidRDefault="0005100C" w:rsidP="0005100C">
            <w:pPr>
              <w:spacing w:before="60" w:after="60"/>
              <w:rPr>
                <w:rFonts w:ascii="Arial" w:hAnsi="Arial" w:cs="Arial"/>
              </w:rPr>
            </w:pPr>
            <w:bookmarkStart w:id="1" w:name="_Hlk44510027"/>
            <w:r w:rsidRPr="00A270D0">
              <w:rPr>
                <w:rFonts w:ascii="Arial" w:hAnsi="Arial" w:cs="Arial"/>
              </w:rPr>
              <w:t>Date Reviewed</w:t>
            </w:r>
          </w:p>
        </w:tc>
        <w:tc>
          <w:tcPr>
            <w:tcW w:w="11198" w:type="dxa"/>
          </w:tcPr>
          <w:p w14:paraId="68E055DC" w14:textId="77777777" w:rsidR="0005100C" w:rsidRPr="00A270D0" w:rsidRDefault="0005100C" w:rsidP="0005100C">
            <w:pPr>
              <w:spacing w:before="60" w:after="60"/>
              <w:rPr>
                <w:rFonts w:ascii="Arial" w:hAnsi="Arial" w:cs="Arial"/>
              </w:rPr>
            </w:pPr>
            <w:r>
              <w:rPr>
                <w:rFonts w:ascii="Arial" w:hAnsi="Arial" w:cs="Arial"/>
              </w:rPr>
              <w:t>9</w:t>
            </w:r>
            <w:r w:rsidRPr="00A270D0">
              <w:rPr>
                <w:rFonts w:ascii="Arial" w:hAnsi="Arial" w:cs="Arial"/>
              </w:rPr>
              <w:t xml:space="preserve"> </w:t>
            </w:r>
            <w:r>
              <w:rPr>
                <w:rFonts w:ascii="Arial" w:hAnsi="Arial" w:cs="Arial"/>
              </w:rPr>
              <w:t>March</w:t>
            </w:r>
            <w:r w:rsidRPr="00A270D0">
              <w:rPr>
                <w:rFonts w:ascii="Arial" w:hAnsi="Arial" w:cs="Arial"/>
              </w:rPr>
              <w:t xml:space="preserve"> 202</w:t>
            </w:r>
            <w:r>
              <w:rPr>
                <w:rFonts w:ascii="Arial" w:hAnsi="Arial" w:cs="Arial"/>
              </w:rPr>
              <w:t>1</w:t>
            </w:r>
          </w:p>
        </w:tc>
      </w:tr>
      <w:tr w:rsidR="0005100C" w:rsidRPr="00A270D0" w14:paraId="4FBC4580" w14:textId="77777777" w:rsidTr="0005100C">
        <w:tc>
          <w:tcPr>
            <w:tcW w:w="3823" w:type="dxa"/>
          </w:tcPr>
          <w:p w14:paraId="2DBDC637" w14:textId="77777777" w:rsidR="0005100C" w:rsidRPr="00A270D0" w:rsidRDefault="0005100C" w:rsidP="0005100C">
            <w:pPr>
              <w:spacing w:before="60" w:after="60"/>
              <w:rPr>
                <w:rFonts w:ascii="Arial" w:hAnsi="Arial" w:cs="Arial"/>
              </w:rPr>
            </w:pPr>
            <w:r w:rsidRPr="00A270D0">
              <w:rPr>
                <w:rFonts w:ascii="Arial" w:hAnsi="Arial" w:cs="Arial"/>
              </w:rPr>
              <w:t>Date of next review</w:t>
            </w:r>
          </w:p>
        </w:tc>
        <w:tc>
          <w:tcPr>
            <w:tcW w:w="11198" w:type="dxa"/>
          </w:tcPr>
          <w:p w14:paraId="6469F3D6" w14:textId="77777777" w:rsidR="0005100C" w:rsidRPr="00A270D0" w:rsidRDefault="0005100C" w:rsidP="0005100C">
            <w:pPr>
              <w:spacing w:before="60" w:after="60"/>
              <w:rPr>
                <w:rFonts w:ascii="Arial" w:hAnsi="Arial" w:cs="Arial"/>
              </w:rPr>
            </w:pPr>
            <w:r w:rsidRPr="00A270D0">
              <w:rPr>
                <w:rFonts w:ascii="Arial" w:hAnsi="Arial" w:cs="Arial"/>
              </w:rPr>
              <w:t>Ma</w:t>
            </w:r>
            <w:r>
              <w:rPr>
                <w:rFonts w:ascii="Arial" w:hAnsi="Arial" w:cs="Arial"/>
              </w:rPr>
              <w:t>rch</w:t>
            </w:r>
            <w:r w:rsidRPr="00A270D0">
              <w:rPr>
                <w:rFonts w:ascii="Arial" w:hAnsi="Arial" w:cs="Arial"/>
              </w:rPr>
              <w:t xml:space="preserve"> 202</w:t>
            </w:r>
            <w:r>
              <w:rPr>
                <w:rFonts w:ascii="Arial" w:hAnsi="Arial" w:cs="Arial"/>
              </w:rPr>
              <w:t>2</w:t>
            </w:r>
          </w:p>
        </w:tc>
      </w:tr>
      <w:bookmarkEnd w:id="1"/>
    </w:tbl>
    <w:p w14:paraId="74765AB8" w14:textId="77777777" w:rsidR="00FC3E40" w:rsidRPr="00FC3E40" w:rsidRDefault="00FC3E40" w:rsidP="00FC3E40"/>
    <w:sectPr w:rsidR="00FC3E40" w:rsidRPr="00FC3E40" w:rsidSect="00CF37C9">
      <w:footerReference w:type="default" r:id="rId8"/>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A7D4" w14:textId="77777777" w:rsidR="00CF37C9" w:rsidRDefault="00CF37C9" w:rsidP="00CF37C9">
      <w:pPr>
        <w:spacing w:after="0" w:line="240" w:lineRule="auto"/>
      </w:pPr>
      <w:r>
        <w:separator/>
      </w:r>
    </w:p>
  </w:endnote>
  <w:endnote w:type="continuationSeparator" w:id="0">
    <w:p w14:paraId="1634E3F5" w14:textId="77777777" w:rsidR="00CF37C9" w:rsidRDefault="00CF37C9" w:rsidP="00CF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897516"/>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140B20C9" w14:textId="77777777" w:rsidR="00CF37C9" w:rsidRPr="00CF37C9" w:rsidRDefault="00CF37C9">
            <w:pPr>
              <w:pStyle w:val="Footer"/>
              <w:jc w:val="center"/>
              <w:rPr>
                <w:rFonts w:ascii="Arial" w:hAnsi="Arial" w:cs="Arial"/>
              </w:rPr>
            </w:pPr>
            <w:r w:rsidRPr="00CF37C9">
              <w:rPr>
                <w:rFonts w:ascii="Arial" w:hAnsi="Arial" w:cs="Arial"/>
              </w:rPr>
              <w:t xml:space="preserve">Page </w:t>
            </w:r>
            <w:r w:rsidRPr="00CF37C9">
              <w:rPr>
                <w:rFonts w:ascii="Arial" w:hAnsi="Arial" w:cs="Arial"/>
                <w:bCs/>
                <w:sz w:val="24"/>
                <w:szCs w:val="24"/>
              </w:rPr>
              <w:fldChar w:fldCharType="begin"/>
            </w:r>
            <w:r w:rsidRPr="00CF37C9">
              <w:rPr>
                <w:rFonts w:ascii="Arial" w:hAnsi="Arial" w:cs="Arial"/>
                <w:bCs/>
              </w:rPr>
              <w:instrText xml:space="preserve"> PAGE </w:instrText>
            </w:r>
            <w:r w:rsidRPr="00CF37C9">
              <w:rPr>
                <w:rFonts w:ascii="Arial" w:hAnsi="Arial" w:cs="Arial"/>
                <w:bCs/>
                <w:sz w:val="24"/>
                <w:szCs w:val="24"/>
              </w:rPr>
              <w:fldChar w:fldCharType="separate"/>
            </w:r>
            <w:r w:rsidRPr="00CF37C9">
              <w:rPr>
                <w:rFonts w:ascii="Arial" w:hAnsi="Arial" w:cs="Arial"/>
                <w:bCs/>
                <w:noProof/>
              </w:rPr>
              <w:t>2</w:t>
            </w:r>
            <w:r w:rsidRPr="00CF37C9">
              <w:rPr>
                <w:rFonts w:ascii="Arial" w:hAnsi="Arial" w:cs="Arial"/>
                <w:bCs/>
                <w:sz w:val="24"/>
                <w:szCs w:val="24"/>
              </w:rPr>
              <w:fldChar w:fldCharType="end"/>
            </w:r>
            <w:r w:rsidRPr="00CF37C9">
              <w:rPr>
                <w:rFonts w:ascii="Arial" w:hAnsi="Arial" w:cs="Arial"/>
              </w:rPr>
              <w:t xml:space="preserve"> of </w:t>
            </w:r>
            <w:r w:rsidRPr="00CF37C9">
              <w:rPr>
                <w:rFonts w:ascii="Arial" w:hAnsi="Arial" w:cs="Arial"/>
                <w:bCs/>
                <w:sz w:val="24"/>
                <w:szCs w:val="24"/>
              </w:rPr>
              <w:fldChar w:fldCharType="begin"/>
            </w:r>
            <w:r w:rsidRPr="00CF37C9">
              <w:rPr>
                <w:rFonts w:ascii="Arial" w:hAnsi="Arial" w:cs="Arial"/>
                <w:bCs/>
              </w:rPr>
              <w:instrText xml:space="preserve"> NUMPAGES  </w:instrText>
            </w:r>
            <w:r w:rsidRPr="00CF37C9">
              <w:rPr>
                <w:rFonts w:ascii="Arial" w:hAnsi="Arial" w:cs="Arial"/>
                <w:bCs/>
                <w:sz w:val="24"/>
                <w:szCs w:val="24"/>
              </w:rPr>
              <w:fldChar w:fldCharType="separate"/>
            </w:r>
            <w:r w:rsidRPr="00CF37C9">
              <w:rPr>
                <w:rFonts w:ascii="Arial" w:hAnsi="Arial" w:cs="Arial"/>
                <w:bCs/>
                <w:noProof/>
              </w:rPr>
              <w:t>2</w:t>
            </w:r>
            <w:r w:rsidRPr="00CF37C9">
              <w:rPr>
                <w:rFonts w:ascii="Arial" w:hAnsi="Arial" w:cs="Arial"/>
                <w:bCs/>
                <w:sz w:val="24"/>
                <w:szCs w:val="24"/>
              </w:rPr>
              <w:fldChar w:fldCharType="end"/>
            </w:r>
          </w:p>
        </w:sdtContent>
      </w:sdt>
    </w:sdtContent>
  </w:sdt>
  <w:p w14:paraId="154EB501" w14:textId="77777777" w:rsidR="00CF37C9" w:rsidRDefault="00CF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92FF" w14:textId="77777777" w:rsidR="00CF37C9" w:rsidRDefault="00CF37C9" w:rsidP="00CF37C9">
      <w:pPr>
        <w:spacing w:after="0" w:line="240" w:lineRule="auto"/>
      </w:pPr>
      <w:r>
        <w:separator/>
      </w:r>
    </w:p>
  </w:footnote>
  <w:footnote w:type="continuationSeparator" w:id="0">
    <w:p w14:paraId="646E5484" w14:textId="77777777" w:rsidR="00CF37C9" w:rsidRDefault="00CF37C9" w:rsidP="00CF3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C8C"/>
    <w:multiLevelType w:val="hybridMultilevel"/>
    <w:tmpl w:val="C59C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C85809"/>
    <w:multiLevelType w:val="hybridMultilevel"/>
    <w:tmpl w:val="1B2CC5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56FC3"/>
    <w:multiLevelType w:val="hybridMultilevel"/>
    <w:tmpl w:val="E9A87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6D0075"/>
    <w:multiLevelType w:val="hybridMultilevel"/>
    <w:tmpl w:val="2592C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C"/>
    <w:rsid w:val="0005100C"/>
    <w:rsid w:val="00246A92"/>
    <w:rsid w:val="002650BB"/>
    <w:rsid w:val="003C2E7B"/>
    <w:rsid w:val="00487365"/>
    <w:rsid w:val="00CF37C9"/>
    <w:rsid w:val="00DD52C8"/>
    <w:rsid w:val="00DF03AE"/>
    <w:rsid w:val="00E62395"/>
    <w:rsid w:val="00EE523C"/>
    <w:rsid w:val="00FC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83CDB"/>
  <w15:chartTrackingRefBased/>
  <w15:docId w15:val="{D68C2ED6-63C3-4BD5-BA2F-7FE59BA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52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52C8"/>
    <w:pPr>
      <w:keepNext/>
      <w:framePr w:hSpace="180" w:wrap="around" w:vAnchor="page" w:hAnchor="margin" w:xAlign="center" w:y="2101"/>
      <w:spacing w:before="60" w:after="60"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3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EE523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E523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C9"/>
  </w:style>
  <w:style w:type="paragraph" w:styleId="Footer">
    <w:name w:val="footer"/>
    <w:basedOn w:val="Normal"/>
    <w:link w:val="FooterChar"/>
    <w:uiPriority w:val="99"/>
    <w:unhideWhenUsed/>
    <w:rsid w:val="00CF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C9"/>
  </w:style>
  <w:style w:type="paragraph" w:customStyle="1" w:styleId="Tabletext">
    <w:name w:val="Table text"/>
    <w:basedOn w:val="Normal"/>
    <w:rsid w:val="00CF37C9"/>
    <w:pPr>
      <w:keepLines/>
      <w:spacing w:before="60" w:after="6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487365"/>
    <w:pPr>
      <w:ind w:left="720"/>
      <w:contextualSpacing/>
    </w:pPr>
  </w:style>
  <w:style w:type="character" w:customStyle="1" w:styleId="Heading3Char">
    <w:name w:val="Heading 3 Char"/>
    <w:basedOn w:val="DefaultParagraphFont"/>
    <w:link w:val="Heading3"/>
    <w:uiPriority w:val="9"/>
    <w:rsid w:val="00DD52C8"/>
    <w:rPr>
      <w:rFonts w:ascii="Arial" w:hAnsi="Arial" w:cs="Arial"/>
      <w:b/>
    </w:rPr>
  </w:style>
  <w:style w:type="paragraph" w:styleId="BodyText">
    <w:name w:val="Body Text"/>
    <w:basedOn w:val="Normal"/>
    <w:link w:val="BodyTextChar"/>
    <w:uiPriority w:val="99"/>
    <w:unhideWhenUsed/>
    <w:rsid w:val="00DD52C8"/>
    <w:pPr>
      <w:framePr w:hSpace="180" w:wrap="around" w:vAnchor="page" w:hAnchor="margin" w:xAlign="center" w:y="2101"/>
      <w:spacing w:before="60" w:after="60" w:line="240" w:lineRule="auto"/>
    </w:pPr>
    <w:rPr>
      <w:rFonts w:ascii="Arial" w:hAnsi="Arial" w:cs="Arial"/>
    </w:rPr>
  </w:style>
  <w:style w:type="character" w:customStyle="1" w:styleId="BodyTextChar">
    <w:name w:val="Body Text Char"/>
    <w:basedOn w:val="DefaultParagraphFont"/>
    <w:link w:val="BodyText"/>
    <w:uiPriority w:val="99"/>
    <w:rsid w:val="00DD52C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F65A-9DDA-4385-BE4E-A4E7B1F3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6</cp:revision>
  <cp:lastPrinted>2021-02-25T16:40:00Z</cp:lastPrinted>
  <dcterms:created xsi:type="dcterms:W3CDTF">2021-02-24T17:42:00Z</dcterms:created>
  <dcterms:modified xsi:type="dcterms:W3CDTF">2021-02-25T16:40:00Z</dcterms:modified>
</cp:coreProperties>
</file>